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7C0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宋体" w:hAnsi="宋体" w:eastAsia="方正小标宋_GBK" w:cs="方正小标宋_GBK"/>
          <w:b w:val="0"/>
          <w:bCs w:val="0"/>
          <w:color w:val="000000"/>
          <w:sz w:val="44"/>
          <w:szCs w:val="44"/>
        </w:rPr>
      </w:pPr>
      <w:r>
        <w:rPr>
          <w:rFonts w:hint="eastAsia" w:ascii="宋体" w:hAnsi="宋体" w:eastAsia="方正小标宋_GBK" w:cs="方正小标宋_GBK"/>
          <w:b w:val="0"/>
          <w:bCs w:val="0"/>
          <w:color w:val="000000"/>
          <w:sz w:val="44"/>
          <w:szCs w:val="44"/>
        </w:rPr>
        <w:t>关于《云南省高速公路项目特许经营管理办法（</w:t>
      </w:r>
      <w:r>
        <w:rPr>
          <w:rFonts w:hint="eastAsia" w:eastAsia="方正小标宋_GBK" w:cs="方正小标宋_GBK"/>
          <w:b w:val="0"/>
          <w:bCs w:val="0"/>
          <w:color w:val="000000"/>
          <w:sz w:val="44"/>
          <w:szCs w:val="44"/>
          <w:lang w:val="en-US" w:eastAsia="zh-CN"/>
        </w:rPr>
        <w:t>征求意见稿</w:t>
      </w:r>
      <w:r>
        <w:rPr>
          <w:rFonts w:hint="eastAsia" w:ascii="宋体" w:hAnsi="宋体" w:eastAsia="方正小标宋_GBK" w:cs="方正小标宋_GBK"/>
          <w:b w:val="0"/>
          <w:bCs w:val="0"/>
          <w:color w:val="000000"/>
          <w:sz w:val="44"/>
          <w:szCs w:val="44"/>
        </w:rPr>
        <w:t>）》的起草说明</w:t>
      </w:r>
    </w:p>
    <w:p w14:paraId="19692E8F">
      <w:pPr>
        <w:keepNext w:val="0"/>
        <w:keepLines w:val="0"/>
        <w:pageBreakBefore w:val="0"/>
        <w:kinsoku/>
        <w:wordWrap/>
        <w:overflowPunct/>
        <w:topLinePunct w:val="0"/>
        <w:autoSpaceDE/>
        <w:autoSpaceDN/>
        <w:bidi w:val="0"/>
        <w:adjustRightInd/>
        <w:snapToGrid/>
        <w:spacing w:line="560" w:lineRule="exact"/>
        <w:ind w:firstLine="420" w:firstLineChars="200"/>
        <w:jc w:val="center"/>
        <w:textAlignment w:val="auto"/>
        <w:rPr>
          <w:rFonts w:ascii="宋体" w:hAnsi="宋体"/>
        </w:rPr>
      </w:pPr>
    </w:p>
    <w:p w14:paraId="0BF323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宋体" w:hAnsi="宋体" w:eastAsia="方正黑体_GBK" w:cs="方正黑体_GBK"/>
          <w:b w:val="0"/>
          <w:bCs w:val="0"/>
          <w:color w:val="000000"/>
          <w:sz w:val="32"/>
          <w:szCs w:val="32"/>
        </w:rPr>
      </w:pPr>
      <w:r>
        <w:rPr>
          <w:rFonts w:hint="eastAsia" w:ascii="宋体" w:hAnsi="宋体" w:eastAsia="方正黑体_GBK" w:cs="方正黑体_GBK"/>
          <w:b w:val="0"/>
          <w:bCs w:val="0"/>
          <w:color w:val="000000"/>
          <w:sz w:val="32"/>
          <w:szCs w:val="32"/>
        </w:rPr>
        <w:t>一、起草背景</w:t>
      </w:r>
    </w:p>
    <w:p w14:paraId="35C071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宋体" w:hAnsi="宋体" w:eastAsia="方正仿宋_GBK" w:cs="方正仿宋_GBK"/>
          <w:color w:val="000000"/>
          <w:kern w:val="0"/>
          <w:sz w:val="32"/>
          <w:szCs w:val="32"/>
          <w:lang w:val="en-US" w:eastAsia="zh-CN" w:bidi="ar"/>
        </w:rPr>
        <w:t>近年来，国家持续深化基础设施和公用事业特许经营制度改革，相继出台《国务院办公厅转发国家发展改革委、财政部〈关于规范实施政府和社会资本合作新机制的指导意见〉的通知》（国办函〔2023〕115 号）、《交通运输部办公厅 国家发展改革委办公厅关于印发〈收费公路政府和社会资本合作新机制操作指南〉的通知》（交办财审〔2025〕24 号）等重要政策文件，明确要求规范特许经营项目管理流程、严防地方政府隐性债务、鼓励民营企业积极参与，为高速公路特许经营工作提供了全新的政策遵循。</w:t>
      </w:r>
    </w:p>
    <w:p w14:paraId="45F0C0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宋体" w:hAnsi="宋体" w:eastAsia="方正仿宋_GBK" w:cs="方正仿宋_GBK"/>
          <w:color w:val="000000"/>
          <w:kern w:val="0"/>
          <w:sz w:val="32"/>
          <w:szCs w:val="32"/>
          <w:lang w:val="en-US" w:eastAsia="zh-CN" w:bidi="ar"/>
        </w:rPr>
        <w:t>云南省作为面向南亚东南亚辐射中心，高速公路是支撑全省经济社会高质量发展、推进区域协调发展、畅通国际物流大通道的关键基础设施。当前，我省高速公路建设已取得显著成效，但在特许经营实践中，仍存在管理机制不够完善、权责边界不够清晰、民营企业参与度不足、项目全生命周期成本控制机制不健全等问题。随着我省融入国家 “一带一路”倡议、加快建设辐射中心的步伐不断加快，亟须通过制度化、规范化手段，进一步提升高速公路特许经营项目的运作质量和公共服务供给水平，平衡公共利益与社会资本合理回报，防范债务风险，激发市场活力，吸引更多优质社会资本参与高速公路建设运营。在此背景下，结合我省实际制定本办法，既是落实国家政策部署的必然要求，也是破解我省高速公路发展瓶颈的现实需要。</w:t>
      </w:r>
    </w:p>
    <w:p w14:paraId="4049C2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宋体" w:hAnsi="宋体" w:eastAsia="方正黑体_GBK" w:cs="方正黑体_GBK"/>
          <w:b w:val="0"/>
          <w:bCs w:val="0"/>
          <w:color w:val="000000"/>
          <w:sz w:val="32"/>
          <w:szCs w:val="32"/>
        </w:rPr>
      </w:pPr>
      <w:r>
        <w:rPr>
          <w:rFonts w:hint="eastAsia" w:ascii="宋体" w:hAnsi="宋体" w:eastAsia="方正黑体_GBK" w:cs="方正黑体_GBK"/>
          <w:b w:val="0"/>
          <w:bCs w:val="0"/>
          <w:color w:val="000000"/>
          <w:sz w:val="32"/>
          <w:szCs w:val="32"/>
        </w:rPr>
        <w:t>二、起草依据</w:t>
      </w:r>
    </w:p>
    <w:p w14:paraId="3DF35D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宋体" w:hAnsi="宋体" w:eastAsia="方正仿宋_GBK" w:cs="方正仿宋_GBK"/>
          <w:color w:val="000000"/>
          <w:kern w:val="0"/>
          <w:sz w:val="32"/>
          <w:szCs w:val="32"/>
          <w:lang w:val="en-US" w:eastAsia="zh-CN" w:bidi="ar"/>
        </w:rPr>
        <w:t>本办法严格遵循 “于法有据、衔接上位、贴合实际” 的原则，主要起草依据包括：</w:t>
      </w:r>
    </w:p>
    <w:p w14:paraId="3992E6D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40" w:leftChars="0" w:right="0" w:firstLine="600" w:firstLineChars="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国家法律：</w:t>
      </w:r>
      <w:r>
        <w:rPr>
          <w:rFonts w:hint="eastAsia" w:ascii="宋体" w:hAnsi="宋体" w:eastAsia="方正仿宋_GBK" w:cs="方正仿宋_GBK"/>
          <w:color w:val="000000"/>
          <w:kern w:val="0"/>
          <w:sz w:val="32"/>
          <w:szCs w:val="32"/>
          <w:lang w:val="en-US" w:eastAsia="zh-CN" w:bidi="ar"/>
        </w:rPr>
        <w:t>《中华人民共和国公路法》《中华人民共和国招标投标法》《中华人民共和国政府采购法》等；</w:t>
      </w:r>
    </w:p>
    <w:p w14:paraId="08F73492">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40" w:leftChars="0" w:right="0" w:firstLine="600" w:firstLineChars="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行政法规：</w:t>
      </w:r>
      <w:r>
        <w:rPr>
          <w:rFonts w:hint="eastAsia" w:ascii="宋体" w:hAnsi="宋体" w:eastAsia="方正仿宋_GBK" w:cs="方正仿宋_GBK"/>
          <w:color w:val="000000"/>
          <w:kern w:val="0"/>
          <w:sz w:val="32"/>
          <w:szCs w:val="32"/>
          <w:lang w:val="en-US" w:eastAsia="zh-CN" w:bidi="ar"/>
        </w:rPr>
        <w:t>《收费公路管理条例》《政府投资条例》《企业投资项目核准和备案管理条例》《中华人民共和国招标投标法实施条例》等；</w:t>
      </w:r>
    </w:p>
    <w:p w14:paraId="556328F2">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40" w:leftChars="0" w:right="0" w:firstLine="600" w:firstLineChars="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部门规章：</w:t>
      </w:r>
      <w:r>
        <w:rPr>
          <w:rFonts w:hint="eastAsia" w:ascii="宋体" w:hAnsi="宋体" w:eastAsia="方正仿宋_GBK" w:cs="方正仿宋_GBK"/>
          <w:color w:val="000000"/>
          <w:kern w:val="0"/>
          <w:sz w:val="32"/>
          <w:szCs w:val="32"/>
          <w:lang w:val="en-US" w:eastAsia="zh-CN" w:bidi="ar"/>
        </w:rPr>
        <w:t>《基础设施和公用事业特许经营管理办法》（国家发展改革委等 6 部委令第 17 号）、《公路建设市场管理办法》等；</w:t>
      </w:r>
    </w:p>
    <w:p w14:paraId="714BB939">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40" w:leftChars="0" w:right="0" w:firstLine="600" w:firstLineChars="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国家政策文件：</w:t>
      </w:r>
      <w:r>
        <w:rPr>
          <w:rFonts w:hint="eastAsia" w:ascii="宋体" w:hAnsi="宋体" w:eastAsia="方正仿宋_GBK" w:cs="方正仿宋_GBK"/>
          <w:color w:val="000000"/>
          <w:kern w:val="0"/>
          <w:sz w:val="32"/>
          <w:szCs w:val="32"/>
          <w:lang w:val="en-US" w:eastAsia="zh-CN" w:bidi="ar"/>
        </w:rPr>
        <w:t>《国务院办公厅转发国家发展改革委、财政部〈关于规范实施政府和社会资本合作新机制的指导意见〉的通知》（国办函〔2023〕115 号）、《交通运输部办公厅 国家发展改革委办公厅关于印发〈收费公路政府和社会资本合作新机制操作指南〉的通知》（交办财审〔2025〕24 号）等；</w:t>
      </w:r>
    </w:p>
    <w:p w14:paraId="4A3AA42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40" w:leftChars="0" w:right="0" w:firstLine="600" w:firstLineChars="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省级政策文件：</w:t>
      </w:r>
      <w:r>
        <w:rPr>
          <w:rFonts w:hint="eastAsia" w:ascii="宋体" w:hAnsi="宋体" w:eastAsia="方正仿宋_GBK" w:cs="方正仿宋_GBK"/>
          <w:color w:val="000000"/>
          <w:kern w:val="0"/>
          <w:sz w:val="32"/>
          <w:szCs w:val="32"/>
          <w:lang w:val="en-US" w:eastAsia="zh-CN" w:bidi="ar"/>
        </w:rPr>
        <w:t>《云南省推动高速公路融合发展若干政策措施（试行）》（云政办规〔2025〕2 号）等。</w:t>
      </w:r>
    </w:p>
    <w:p w14:paraId="2ADCF2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宋体" w:hAnsi="宋体" w:eastAsia="方正黑体_GBK" w:cs="方正黑体_GBK"/>
          <w:b w:val="0"/>
          <w:bCs w:val="0"/>
          <w:color w:val="000000"/>
          <w:sz w:val="32"/>
          <w:szCs w:val="32"/>
        </w:rPr>
      </w:pPr>
      <w:r>
        <w:rPr>
          <w:rFonts w:hint="eastAsia" w:ascii="宋体" w:hAnsi="宋体" w:eastAsia="方正黑体_GBK" w:cs="方正黑体_GBK"/>
          <w:b w:val="0"/>
          <w:bCs w:val="0"/>
          <w:color w:val="000000"/>
          <w:sz w:val="32"/>
          <w:szCs w:val="32"/>
        </w:rPr>
        <w:t>三、起草过程</w:t>
      </w:r>
    </w:p>
    <w:p w14:paraId="4B3F54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宋体" w:hAnsi="宋体" w:eastAsia="方正仿宋_GBK" w:cs="方正仿宋_GBK"/>
          <w:color w:val="000000"/>
          <w:kern w:val="0"/>
          <w:sz w:val="32"/>
          <w:szCs w:val="32"/>
          <w:lang w:val="en-US" w:eastAsia="zh-CN" w:bidi="ar"/>
        </w:rPr>
        <w:t>本办法的起草工作严格按照规范性文件制定程序推进，主要经历以下阶段：</w:t>
      </w:r>
    </w:p>
    <w:p w14:paraId="3C1B24F6">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调研论证阶段。</w:t>
      </w:r>
      <w:r>
        <w:rPr>
          <w:rFonts w:hint="eastAsia" w:ascii="宋体" w:hAnsi="宋体" w:eastAsia="方正仿宋_GBK" w:cs="方正仿宋_GBK"/>
          <w:color w:val="000000"/>
          <w:kern w:val="0"/>
          <w:sz w:val="32"/>
          <w:szCs w:val="32"/>
          <w:lang w:val="en-US" w:eastAsia="zh-CN" w:bidi="ar"/>
        </w:rPr>
        <w:t>省交通运输厅牵头，省交发公司配合，系统梳理国家及省内相关法律法规和政策文件，对省内现有高速公路特许经营项目开展全面调研，总结实践经验、剖析突出问题；同时，学习借鉴外省市先进做法，结合国家最新政策要求，形成办法初步框架和核心条款。</w:t>
      </w:r>
    </w:p>
    <w:p w14:paraId="0BCEA341">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编制阶段。</w:t>
      </w:r>
      <w:r>
        <w:rPr>
          <w:rFonts w:hint="eastAsia" w:ascii="宋体" w:hAnsi="宋体" w:eastAsia="方正仿宋_GBK" w:cs="方正仿宋_GBK"/>
          <w:color w:val="000000"/>
          <w:kern w:val="0"/>
          <w:sz w:val="32"/>
          <w:szCs w:val="32"/>
          <w:lang w:val="en-US" w:eastAsia="zh-CN" w:bidi="ar"/>
        </w:rPr>
        <w:t>依据上述法律法规和政策文件，结合调研成果，起草形成办法初稿。组织相关部门、法律顾问和行业专家开展多轮内部研讨、论证，对办法的结构布局、核心内容、文字表述进行反复推敲和修改完善，提升办法的科学性和可操作性。</w:t>
      </w:r>
    </w:p>
    <w:p w14:paraId="19527363">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highlight w:val="none"/>
        </w:rPr>
      </w:pPr>
      <w:r>
        <w:rPr>
          <w:rFonts w:hint="eastAsia" w:ascii="方正楷体_GBK" w:hAnsi="方正楷体_GBK" w:eastAsia="方正楷体_GBK" w:cs="方正楷体_GBK"/>
          <w:color w:val="000000"/>
          <w:kern w:val="0"/>
          <w:sz w:val="32"/>
          <w:szCs w:val="32"/>
          <w:lang w:val="en-US" w:eastAsia="zh-CN" w:bidi="ar"/>
        </w:rPr>
        <w:t>征求意见阶段。</w:t>
      </w:r>
      <w:r>
        <w:rPr>
          <w:rFonts w:hint="eastAsia" w:ascii="宋体" w:hAnsi="宋体" w:eastAsia="方正仿宋_GBK" w:cs="方正仿宋_GBK"/>
          <w:color w:val="000000"/>
          <w:kern w:val="0"/>
          <w:sz w:val="32"/>
          <w:szCs w:val="32"/>
          <w:highlight w:val="none"/>
          <w:lang w:val="en-US" w:eastAsia="zh-CN" w:bidi="ar"/>
        </w:rPr>
        <w:t>书面征求省发展改革委、省财政厅、省自然资源厅、省生态环境厅等省级相关部门，各州（市）人民政府及交通运输主管部门，行业内企业、专家学者等方面的意见建议后，进行进一步优化完善，按规定履行后续审核程序。</w:t>
      </w:r>
    </w:p>
    <w:p w14:paraId="12AB62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宋体" w:hAnsi="宋体" w:eastAsia="方正黑体_GBK" w:cs="方正黑体_GBK"/>
          <w:b w:val="0"/>
          <w:bCs w:val="0"/>
          <w:color w:val="000000"/>
          <w:sz w:val="32"/>
          <w:szCs w:val="32"/>
        </w:rPr>
      </w:pPr>
      <w:r>
        <w:rPr>
          <w:rFonts w:hint="eastAsia" w:ascii="宋体" w:hAnsi="宋体" w:eastAsia="方正黑体_GBK" w:cs="方正黑体_GBK"/>
          <w:b w:val="0"/>
          <w:bCs w:val="0"/>
          <w:color w:val="000000"/>
          <w:sz w:val="32"/>
          <w:szCs w:val="32"/>
        </w:rPr>
        <w:t>四、主要内容</w:t>
      </w:r>
    </w:p>
    <w:p w14:paraId="721AE5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宋体" w:hAnsi="宋体" w:eastAsia="方正仿宋_GBK" w:cs="方正仿宋_GBK"/>
          <w:color w:val="000000"/>
          <w:kern w:val="0"/>
          <w:sz w:val="32"/>
          <w:szCs w:val="32"/>
          <w:lang w:val="en-US" w:eastAsia="zh-CN" w:bidi="ar"/>
        </w:rPr>
        <w:t>本办法共七章五十九条，构建了覆盖高速公路特许经营全生命周期的管理制度体系，各章节核心内容如下：</w:t>
      </w:r>
    </w:p>
    <w:p w14:paraId="7AC7BA99">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第一章 “总则”（第一条至第五条）。</w:t>
      </w:r>
      <w:r>
        <w:rPr>
          <w:rFonts w:hint="eastAsia" w:ascii="宋体" w:hAnsi="宋体" w:eastAsia="方正仿宋_GBK" w:cs="方正仿宋_GBK"/>
          <w:color w:val="000000"/>
          <w:kern w:val="0"/>
          <w:sz w:val="32"/>
          <w:szCs w:val="32"/>
          <w:lang w:val="en-US" w:eastAsia="zh-CN" w:bidi="ar"/>
        </w:rPr>
        <w:t>明确立法目的、依据及适用范围，界定 “高速公路特许经营” 的核心定义，明确本办法施行前已完成招标采购程序的项目不适用本办法；强调项目需在可行性研究阶段充分论证建设必要性、精准测算投资与收益，确保经营收入覆盖建设投资和运营成本，不新增地方财政未来支出责任；提出对 “投资规模大、建设难度高” 且纳入国家或省级规划的项目，可依法依规按照初步设计深度开展前期工作、固化项目线位；明确在严防隐性债务前提下，政府可按规定给予项目投资支持；划分国家高速公路和地方高速公路的组织实施层级，明确跨州（市）项目由投资规模大、工程量大的州（市）牵头协调实施，特殊情形调整实施层级须经省人民政府批准，为项目有序推进奠定基础。</w:t>
      </w:r>
    </w:p>
    <w:p w14:paraId="7D3201B7">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第二章 “政府及部门职责与主体责任”（第六条至第十一条）。</w:t>
      </w:r>
      <w:r>
        <w:rPr>
          <w:rFonts w:hint="eastAsia" w:ascii="宋体" w:hAnsi="宋体" w:eastAsia="方正仿宋_GBK" w:cs="方正仿宋_GBK"/>
          <w:color w:val="000000"/>
          <w:kern w:val="0"/>
          <w:sz w:val="32"/>
          <w:szCs w:val="32"/>
          <w:lang w:val="en-US" w:eastAsia="zh-CN" w:bidi="ar"/>
        </w:rPr>
        <w:t>清晰界定省、州（市）人民政府在财政资金投入、实施机构授权、出资人代表确定、征地拆迁统筹、应急处置等方面的职责；明确省交通运输厅的行业管理、监督指导、资金安排建议等职责，以及省发展改革委、省财政厅、自然资源、生态环境等其他省级部门的要素保障与监督管理职责；细化项目实施机构在方案编制、经营者招选、协议签订、项目监管、移交接收等方面的具体职责；明确政府出资人代表的资金注入、股权持有、监督引导职责；同时明确特许经营者（项目公司）作为项目法人在投融资、建设、运营、债务偿还、移交等全流程的核心义务，构建 “政府统筹、部门协同、机构履职、企业主责” 的责任体系。</w:t>
      </w:r>
    </w:p>
    <w:p w14:paraId="08B24F00">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第三章 “特许经营方案的编制与审核”（第十二条至第十五条）。</w:t>
      </w:r>
      <w:r>
        <w:rPr>
          <w:rFonts w:hint="eastAsia" w:ascii="宋体" w:hAnsi="宋体" w:eastAsia="方正仿宋_GBK" w:cs="方正仿宋_GBK"/>
          <w:color w:val="000000"/>
          <w:kern w:val="0"/>
          <w:sz w:val="32"/>
          <w:szCs w:val="32"/>
          <w:lang w:val="en-US" w:eastAsia="zh-CN" w:bidi="ar"/>
        </w:rPr>
        <w:t>明确项目实施机构为特许经营方案编制主体，可通过开展市场测试、委托第三方机构等方式完善方案；强调方案应主动服务和融入国家发展大局，融入口岸交通基础设施、通关设施和多式联运机制，衔接沿线资源禀赋与经济社会发展需求，深入论证 “高速 +” 融合发展路径，提升项目总体盈利能力；明确沿线政府在土地要素保障、国土空间规划衔接等方面的支撑责任；规定省级和州（市）实施项目的特许经营方案均须报省发展改革委审核，审核过程可委托专业咨询机构开展评估，确保项目决策科学合规。</w:t>
      </w:r>
    </w:p>
    <w:p w14:paraId="37380580">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第四章 “特许经营者招选及协议签订”（第十六条至第三十五条）。</w:t>
      </w:r>
      <w:r>
        <w:rPr>
          <w:rFonts w:hint="eastAsia" w:ascii="宋体" w:hAnsi="宋体" w:eastAsia="方正仿宋_GBK" w:cs="方正仿宋_GBK"/>
          <w:color w:val="000000"/>
          <w:kern w:val="0"/>
          <w:sz w:val="32"/>
          <w:szCs w:val="32"/>
          <w:lang w:val="en-US" w:eastAsia="zh-CN" w:bidi="ar"/>
        </w:rPr>
        <w:t>明确开展特许经营者招标需具备的规划符合、技术达标、方案审核通过等前提条件，规定必须采用公开招标方式择优选择特许经营者；从准入规则上营造公平竞争环境，限制本级国有独资或国有控股企业（除政府出资人代表外）参与本级项目投标，明确不得将勘察设计或施工资格作为投标强制性条件，不得限制或排斥民营企业参与；细化投标人基本资格条件、联合体投标规则与连带责任要求，明确联合体牵头人应为项目公司控股股东；规范招标全流程管理，包括招标文件编制、公告发布、评标委员会组成、评标办法、中标公示、保证金管理等要求，明确同等条件下优先推荐民营企业或含民营企业的联合体为中标候选人；规范协议签订流程，明确需成立项目公司的应先签订初步协议再签署正式特许经营协议，协议核心条款不得偏离特许经营方案及招标文件；区分政府资本金注入项目与企业投资项目，分别明确对应的审批、核准程序及项目法人变更要求；规定项目发生重大变更时需重新履行审查审批程序；明确已获交通运输部资金安排的项目，签约后需报送资金申请确认函，由省交通运输厅会同省财政厅监管资金使用。</w:t>
      </w:r>
    </w:p>
    <w:p w14:paraId="128E20E8">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第五章 “项目建设及运营管理”（第三十六条至第五十三条）。</w:t>
      </w:r>
      <w:r>
        <w:rPr>
          <w:rFonts w:hint="eastAsia" w:ascii="宋体" w:hAnsi="宋体" w:eastAsia="方正仿宋_GBK" w:cs="方正仿宋_GBK"/>
          <w:color w:val="000000"/>
          <w:kern w:val="0"/>
          <w:sz w:val="32"/>
          <w:szCs w:val="32"/>
          <w:lang w:val="en-US" w:eastAsia="zh-CN" w:bidi="ar"/>
        </w:rPr>
        <w:t>明确特许经营者或项目公司的投资履约与融资主体责任，要求项目资本金及时足额到位，企业自行承担债务还本付息责任，不得要求或变相要求政府承担偿债责任，严禁政府及部门为项目融资提供担保；规范项目建设管理，强调严格执行基本建设程序，落实工程质量、安全、生态环保、耕地保护、农民工工资支付等管理制度，严格设计变更审批管理，对负变更及重大病害处治变更实行严格审查，确保变更后安全保障系数不低于原标准；明确施工许可、交工验收、试运营、竣工验收的全流程管理要求；对运营期服务质量提出标准，要求保障公路技术状况良好，规范服务区与收费窗口运营；鼓励通过创新融合模式、引入先进技术、盘活闲置资产等方式降本增效，支持符合条件的项目发行基础设施 REITs；建立运营监测、定期评价与全过程绩效评价机制，明确政府与企业双向信息公开要求；规范协议变更、提前终止等情形的处理规则，区分政府方与特许经营者原因明确责任划分与补偿机制，严禁以提前终止为由通过 BT 模式变相举债，要求提前终止项目做好接续实施保障，防止项目停摆；畅通社会公众监督与投诉渠道，保障公共服务质量。</w:t>
      </w:r>
    </w:p>
    <w:p w14:paraId="1154058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sz w:val="32"/>
          <w:szCs w:val="32"/>
        </w:rPr>
      </w:pPr>
      <w:r>
        <w:rPr>
          <w:rFonts w:hint="eastAsia" w:ascii="方正楷体_GBK" w:hAnsi="方正楷体_GBK" w:eastAsia="方正楷体_GBK" w:cs="方正楷体_GBK"/>
          <w:color w:val="000000"/>
          <w:kern w:val="0"/>
          <w:sz w:val="32"/>
          <w:szCs w:val="32"/>
          <w:lang w:val="en-US" w:eastAsia="zh-CN" w:bidi="ar"/>
        </w:rPr>
        <w:t>第六章 “项目移交”（第五十四条至第五十七条）。</w:t>
      </w:r>
      <w:r>
        <w:rPr>
          <w:rFonts w:hint="eastAsia" w:ascii="宋体" w:hAnsi="宋体" w:eastAsia="方正仿宋_GBK" w:cs="方正仿宋_GBK"/>
          <w:color w:val="000000"/>
          <w:kern w:val="0"/>
          <w:sz w:val="32"/>
          <w:szCs w:val="32"/>
          <w:lang w:val="en-US" w:eastAsia="zh-CN" w:bidi="ar"/>
        </w:rPr>
        <w:t>明确项目移交过渡期为特许经营期届满前 2 年，要求政府与企业联合组建移交委员会、制定移交方案，过渡期内重大经营财务决策需向实施机构报备；规定特许经营期满前 6 个月开展技术鉴定与验收，未达原技术等级标准的需整改达标后方可移交；要求移交前清偿全部项目债务、解除资产担保、妥善安置相关员工；明确资产权属变更登记的配合要求；规定移交完成后由交通运输主管部门会同有关部门开展项目运行养护、成本效益、监管成效等评估，保障公共资产平稳完整交接。</w:t>
      </w:r>
    </w:p>
    <w:p w14:paraId="63F759B2">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第七章 “附则”（第五十八条至第五十九条）。</w:t>
      </w:r>
      <w:r>
        <w:rPr>
          <w:rFonts w:hint="eastAsia" w:ascii="宋体" w:hAnsi="宋体" w:eastAsia="方正仿宋_GBK" w:cs="方正仿宋_GBK"/>
          <w:color w:val="000000"/>
          <w:kern w:val="0"/>
          <w:sz w:val="32"/>
          <w:szCs w:val="32"/>
          <w:lang w:val="en-US" w:eastAsia="zh-CN" w:bidi="ar"/>
        </w:rPr>
        <w:t>明确本办法由省交通运输厅会同有关部门负责解释，规定了办法的施行日期。</w:t>
      </w:r>
    </w:p>
    <w:p w14:paraId="2A6ABD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宋体" w:hAnsi="宋体" w:eastAsia="方正黑体_GBK" w:cs="方正黑体_GBK"/>
          <w:b w:val="0"/>
          <w:bCs w:val="0"/>
          <w:color w:val="000000"/>
          <w:sz w:val="32"/>
          <w:szCs w:val="32"/>
        </w:rPr>
      </w:pPr>
      <w:r>
        <w:rPr>
          <w:rFonts w:hint="eastAsia" w:ascii="宋体" w:hAnsi="宋体" w:eastAsia="方正黑体_GBK" w:cs="方正黑体_GBK"/>
          <w:b w:val="0"/>
          <w:bCs w:val="0"/>
          <w:color w:val="000000"/>
          <w:sz w:val="32"/>
          <w:szCs w:val="32"/>
        </w:rPr>
        <w:t>五、重点条款说明</w:t>
      </w:r>
    </w:p>
    <w:p w14:paraId="22FB13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（一）关于特许经营定义（第三条）。</w:t>
      </w:r>
      <w:r>
        <w:rPr>
          <w:rFonts w:hint="eastAsia" w:ascii="宋体" w:hAnsi="宋体" w:eastAsia="方正仿宋_GBK" w:cs="方正仿宋_GBK"/>
          <w:color w:val="000000"/>
          <w:kern w:val="0"/>
          <w:sz w:val="32"/>
          <w:szCs w:val="32"/>
          <w:lang w:val="en-US" w:eastAsia="zh-CN" w:bidi="ar"/>
        </w:rPr>
        <w:t>本条明确了特许经营的核心要素：政府通过公开招标方式依法选择特许经营者，通过签订特许经营协议明确权利义务和风险分担，允许其在约定期限和范围内投资建设运营高速公路，提供通行及配套公共服务并获取合理收益。这一界定既区分了特许经营与一般商业投资的差异，又突出了其公益性与经营性相结合的属性，为后续全流程管理工作提供基础依据。</w:t>
      </w:r>
    </w:p>
    <w:p w14:paraId="7A62D5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（二）关于实施层级划分（第五条）。</w:t>
      </w:r>
      <w:r>
        <w:rPr>
          <w:rFonts w:hint="eastAsia" w:ascii="宋体" w:hAnsi="宋体" w:eastAsia="方正仿宋_GBK" w:cs="方正仿宋_GBK"/>
          <w:color w:val="000000"/>
          <w:kern w:val="0"/>
          <w:sz w:val="32"/>
          <w:szCs w:val="32"/>
          <w:lang w:val="en-US" w:eastAsia="zh-CN" w:bidi="ar"/>
        </w:rPr>
        <w:t>结合我省项目管理实际，明确国家高速公路原则上由省级组织实施，地方高速公路原则上由州（市）实施，跨州（市）的项目由项目投资规模大、工程量大的州（市）为牵头协调实施；因重大发展战略、统筹招商等特殊情形需调整实施层级的，须经省人民政府批准。该条款有助于理顺管理层级，避免职责交叉，提高项目统筹推进效率。</w:t>
      </w:r>
    </w:p>
    <w:p w14:paraId="206518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（三）关于民营企业参与支持（第十七条、第十八条、第二十四条、第二十五条）。</w:t>
      </w:r>
      <w:r>
        <w:rPr>
          <w:rFonts w:hint="eastAsia" w:ascii="宋体" w:hAnsi="宋体" w:eastAsia="方正仿宋_GBK" w:cs="方正仿宋_GBK"/>
          <w:color w:val="000000"/>
          <w:kern w:val="0"/>
          <w:sz w:val="32"/>
          <w:szCs w:val="32"/>
          <w:lang w:val="en-US" w:eastAsia="zh-CN" w:bidi="ar"/>
        </w:rPr>
        <w:t>通过多维度制度设计构建公平开放的市场环境：一是限制本级国有独资或控股企业（除政府出资人代表外）参与本级项目投标，避免本地国企形成排他性竞争；二是放宽投标资格门槛，不得将勘察设计或施工资格作为投标强制性条件，扩大市场参与主体范围；三是明确鼓励民营企业通过直接投资、独资、控股、参股等多种方式参与项目，结合国家支持项目清单优先选择民营企业参与；四是在评标环节设置倾斜规则，同等条件下优先推荐民营企业或有民营企业参与的联合体为中标候选人。同时明确省交通运输厅可会同有关部门制定 “投资规模大、建设难度高” 项目认定标准，报省人民政府批准后公开，为项目分类管理提供依据。系列条款充分落实国家鼓励民间资本参与基础设施建设的政策要求，激发市场主体活力。</w:t>
      </w:r>
    </w:p>
    <w:p w14:paraId="20D3FD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（四）关于设计变更管理（第四十一条）。</w:t>
      </w:r>
      <w:r>
        <w:rPr>
          <w:rFonts w:hint="eastAsia" w:ascii="宋体" w:hAnsi="宋体" w:eastAsia="方正仿宋_GBK" w:cs="方正仿宋_GBK"/>
          <w:color w:val="000000"/>
          <w:kern w:val="0"/>
          <w:sz w:val="32"/>
          <w:szCs w:val="32"/>
          <w:lang w:val="en-US" w:eastAsia="zh-CN" w:bidi="ar"/>
        </w:rPr>
        <w:t>针对实践中可能出现的通过设计变更降低工程标准、影响运行安全的问题，明确对缩短桥梁及隧道长度、缩小桥梁跨径、调整结构形式、取消桥梁、降低技术指标或参数、降低高边坡防护能力等负变更及对重大病害处治等正变更实行严格审查，要求变更后的安全保障系数不得低于原标准，不得因设计变更降低公路的安全、韧性、防灾抗灾及服务能力，切实保障工程质量与公共安全。</w:t>
      </w:r>
    </w:p>
    <w:p w14:paraId="0906EA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（五）关于成本控制与收益管理（第四十七条）。</w:t>
      </w:r>
      <w:r>
        <w:rPr>
          <w:rFonts w:hint="eastAsia" w:ascii="宋体" w:hAnsi="宋体" w:eastAsia="方正仿宋_GBK" w:cs="方正仿宋_GBK"/>
          <w:color w:val="000000"/>
          <w:kern w:val="0"/>
          <w:sz w:val="32"/>
          <w:szCs w:val="32"/>
          <w:lang w:val="en-US" w:eastAsia="zh-CN" w:bidi="ar"/>
        </w:rPr>
        <w:t>明确特许经营者或项目公司</w:t>
      </w:r>
      <w:bookmarkStart w:id="0" w:name="_GoBack"/>
      <w:bookmarkEnd w:id="0"/>
      <w:r>
        <w:rPr>
          <w:rFonts w:hint="eastAsia" w:ascii="宋体" w:hAnsi="宋体" w:eastAsia="方正仿宋_GBK" w:cs="方正仿宋_GBK"/>
          <w:color w:val="000000"/>
          <w:kern w:val="0"/>
          <w:sz w:val="32"/>
          <w:szCs w:val="32"/>
          <w:lang w:val="en-US" w:eastAsia="zh-CN" w:bidi="ar"/>
        </w:rPr>
        <w:t>须严格执行建设和养护标准，合理控制相关成本；若特许经营协议对建设和养护成本有约定，实际支出超出约定的部分，不纳入超额收益计算及收费标准、期限调整的评估范围。该条款旨在引导经营者通过技术创新和管理优化实现降本增效，防止不合理成本向公共利益转嫁，保障公众权益。</w:t>
      </w:r>
    </w:p>
    <w:p w14:paraId="2E8C7D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（六）关于移交保障机制（第五十四条至第五十七条）。</w:t>
      </w:r>
      <w:r>
        <w:rPr>
          <w:rFonts w:hint="eastAsia" w:ascii="宋体" w:hAnsi="宋体" w:eastAsia="方正仿宋_GBK" w:cs="方正仿宋_GBK"/>
          <w:color w:val="000000"/>
          <w:kern w:val="0"/>
          <w:sz w:val="32"/>
          <w:szCs w:val="32"/>
          <w:lang w:val="en-US" w:eastAsia="zh-CN" w:bidi="ar"/>
        </w:rPr>
        <w:t>构建 “过渡期筹备 — 鉴定验收 — 债务清零 — 资产交接 — 事后评估” 的全流程移交保障体系：通过 2 年移交过渡期提前筹备移交工作，规范过渡期重大决策管理；通过期满前技术鉴定验收保障移交资产质量；通过债务清偿、担保解除、人员安置要求厘清移交前后的责任边界；通过移交后综合评估复盘项目全周期成效，确保项目移交时资产状况完好、运营平稳衔接，实现公共资产的完整有序交接。</w:t>
      </w:r>
    </w:p>
    <w:p w14:paraId="6E8E3B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宋体" w:hAnsi="宋体" w:eastAsia="方正黑体_GBK" w:cs="方正黑体_GBK"/>
          <w:b w:val="0"/>
          <w:bCs w:val="0"/>
          <w:color w:val="000000"/>
          <w:sz w:val="32"/>
          <w:szCs w:val="32"/>
        </w:rPr>
      </w:pPr>
      <w:r>
        <w:rPr>
          <w:rFonts w:hint="eastAsia" w:ascii="宋体" w:hAnsi="宋体" w:eastAsia="方正黑体_GBK" w:cs="方正黑体_GBK"/>
          <w:b w:val="0"/>
          <w:bCs w:val="0"/>
          <w:color w:val="000000"/>
          <w:sz w:val="32"/>
          <w:szCs w:val="32"/>
        </w:rPr>
        <w:t>六、预期成效</w:t>
      </w:r>
    </w:p>
    <w:p w14:paraId="58396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（一）规范管理流程。</w:t>
      </w:r>
      <w:r>
        <w:rPr>
          <w:rFonts w:hint="eastAsia" w:ascii="宋体" w:hAnsi="宋体" w:eastAsia="方正仿宋_GBK" w:cs="方正仿宋_GBK"/>
          <w:color w:val="000000"/>
          <w:kern w:val="0"/>
          <w:sz w:val="32"/>
          <w:szCs w:val="32"/>
          <w:lang w:val="en-US" w:eastAsia="zh-CN" w:bidi="ar"/>
        </w:rPr>
        <w:t>通过明确项目全生命周期各环节的操作标准、责任主体和监管要求，破解管理机制不完善、权责边界不清晰等问题，全面提升我省高速公路特许经营工作的规范化、制度化水平。</w:t>
      </w:r>
    </w:p>
    <w:p w14:paraId="268EE4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（二）防范债务风险。</w:t>
      </w:r>
      <w:r>
        <w:rPr>
          <w:rFonts w:hint="eastAsia" w:ascii="宋体" w:hAnsi="宋体" w:eastAsia="方正仿宋_GBK" w:cs="方正仿宋_GBK"/>
          <w:color w:val="000000"/>
          <w:kern w:val="0"/>
          <w:sz w:val="32"/>
          <w:szCs w:val="32"/>
          <w:lang w:val="en-US" w:eastAsia="zh-CN" w:bidi="ar"/>
        </w:rPr>
        <w:t>严格落实 “经营收入覆盖建设投资和运营成本、不新增地方财政未来支出责任” 的底线要求，严禁政府违规担保和变相举债，规范财政资金支持方式与使用监管，有效防范地方政府隐性债务风险。</w:t>
      </w:r>
    </w:p>
    <w:p w14:paraId="67CF04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（三）激发市场活力。</w:t>
      </w:r>
      <w:r>
        <w:rPr>
          <w:rFonts w:hint="eastAsia" w:ascii="宋体" w:hAnsi="宋体" w:eastAsia="方正仿宋_GBK" w:cs="方正仿宋_GBK"/>
          <w:color w:val="000000"/>
          <w:kern w:val="0"/>
          <w:sz w:val="32"/>
          <w:szCs w:val="32"/>
          <w:lang w:val="en-US" w:eastAsia="zh-CN" w:bidi="ar"/>
        </w:rPr>
        <w:t>通过优化招选规则、放宽准入门槛、强化民营企业参与支持等措施，营造公平竞争的营商环境，吸引更多优质社会资本投入高速公路建设运营，缓解财政资金压力。</w:t>
      </w:r>
    </w:p>
    <w:p w14:paraId="69A542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（四）提升服务质量。</w:t>
      </w:r>
      <w:r>
        <w:rPr>
          <w:rFonts w:hint="eastAsia" w:ascii="宋体" w:hAnsi="宋体" w:eastAsia="方正仿宋_GBK" w:cs="方正仿宋_GBK"/>
          <w:color w:val="000000"/>
          <w:kern w:val="0"/>
          <w:sz w:val="32"/>
          <w:szCs w:val="32"/>
          <w:lang w:val="en-US" w:eastAsia="zh-CN" w:bidi="ar"/>
        </w:rPr>
        <w:t>建立健全建设质量管控、运营绩效评价、社会公众监督等机制，鼓励运营模式创新，推动 “高速 +” 融合发展，持续提升高速公路公共服务的质量和效率，满足人民群众出行需求和经济社会发展需要。</w:t>
      </w:r>
    </w:p>
    <w:p w14:paraId="404AD4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（五）支撑辐射中心建设。</w:t>
      </w:r>
      <w:r>
        <w:rPr>
          <w:rFonts w:hint="eastAsia" w:ascii="宋体" w:hAnsi="宋体" w:eastAsia="方正仿宋_GBK" w:cs="方正仿宋_GBK"/>
          <w:color w:val="000000"/>
          <w:kern w:val="0"/>
          <w:sz w:val="32"/>
          <w:szCs w:val="32"/>
          <w:lang w:val="en-US" w:eastAsia="zh-CN" w:bidi="ar"/>
        </w:rPr>
        <w:t>通过将口岸交通、通关设施、多式联运等内容融入特许经营方案，强化跨区域项目统筹协调，助力构建畅通高效的交通物流网络，为云南建设面向南亚东南亚辐射中心提供坚实的交通支撑。</w:t>
      </w:r>
    </w:p>
    <w:p w14:paraId="5AC76A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黑体_GBK" w:cs="方正黑体_GBK"/>
          <w:color w:val="000000"/>
          <w:kern w:val="0"/>
          <w:sz w:val="32"/>
          <w:szCs w:val="32"/>
          <w:lang w:val="en-US" w:eastAsia="zh-CN" w:bidi="ar"/>
        </w:rPr>
      </w:pPr>
      <w:r>
        <w:rPr>
          <w:rFonts w:hint="eastAsia" w:ascii="宋体" w:hAnsi="宋体" w:eastAsia="方正黑体_GBK" w:cs="方正黑体_GBK"/>
          <w:color w:val="000000"/>
          <w:kern w:val="0"/>
          <w:sz w:val="32"/>
          <w:szCs w:val="32"/>
          <w:lang w:val="en-US" w:eastAsia="zh-CN" w:bidi="ar"/>
        </w:rPr>
        <w:t>七、其他需要说明的事项</w:t>
      </w:r>
    </w:p>
    <w:p w14:paraId="490441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方正仿宋_GBK" w:cs="方正仿宋_GBK"/>
          <w:b w:val="0"/>
          <w:bCs w:val="0"/>
          <w:color w:val="000000"/>
          <w:sz w:val="32"/>
          <w:szCs w:val="32"/>
        </w:rPr>
      </w:pPr>
      <w:r>
        <w:rPr>
          <w:rFonts w:hint="eastAsia" w:ascii="宋体" w:hAnsi="宋体" w:eastAsia="方正仿宋_GBK" w:cs="方正仿宋_GBK"/>
          <w:b w:val="0"/>
          <w:bCs w:val="0"/>
          <w:color w:val="000000"/>
          <w:kern w:val="0"/>
          <w:sz w:val="32"/>
          <w:szCs w:val="32"/>
          <w:lang w:val="en-US" w:eastAsia="zh-CN" w:bidi="ar"/>
        </w:rPr>
        <w:t>下一步，将按照规范性文件出台程序，做好办法的审议、发布和政策解读工作，</w:t>
      </w:r>
      <w:r>
        <w:rPr>
          <w:rFonts w:hint="eastAsia" w:ascii="宋体" w:hAnsi="宋体" w:eastAsia="方正仿宋_GBK" w:cs="方正仿宋_GBK"/>
          <w:b w:val="0"/>
          <w:bCs w:val="0"/>
          <w:color w:val="000000"/>
          <w:sz w:val="32"/>
          <w:szCs w:val="32"/>
          <w:lang w:val="en-US" w:eastAsia="zh-CN"/>
        </w:rPr>
        <w:t>指导</w:t>
      </w:r>
      <w:r>
        <w:rPr>
          <w:rFonts w:hint="eastAsia" w:ascii="宋体" w:hAnsi="宋体" w:eastAsia="方正仿宋_GBK" w:cs="方正仿宋_GBK"/>
          <w:b w:val="0"/>
          <w:bCs w:val="0"/>
          <w:color w:val="000000"/>
          <w:kern w:val="0"/>
          <w:sz w:val="32"/>
          <w:szCs w:val="32"/>
          <w:lang w:val="en-US" w:eastAsia="zh-CN" w:bidi="ar"/>
        </w:rPr>
        <w:t>各地各部门抓好贯彻落实，确保办法落地见效，为我省高速公路事业高质量发展提供有力的制度保障。</w:t>
      </w:r>
    </w:p>
    <w:p w14:paraId="2864B9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rPr>
      </w:pPr>
    </w:p>
    <w:sectPr>
      <w:footerReference r:id="rId3" w:type="default"/>
      <w:pgSz w:w="11906" w:h="16838"/>
      <w:pgMar w:top="1474" w:right="1474" w:bottom="136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华文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ZSJ-FANGSJT">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altName w:val="汉仪中黑KW"/>
    <w:panose1 w:val="03000509000000000000"/>
    <w:charset w:val="86"/>
    <w:family w:val="auto"/>
    <w:pitch w:val="default"/>
    <w:sig w:usb0="00000000" w:usb1="00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800002BF" w:usb1="38CF7CFA" w:usb2="00000016" w:usb3="00000000" w:csb0="00040000" w:csb1="00000000"/>
  </w:font>
  <w:font w:name="华文黑体">
    <w:panose1 w:val="02010600040101010101"/>
    <w:charset w:val="86"/>
    <w:family w:val="auto"/>
    <w:pitch w:val="default"/>
    <w:sig w:usb0="00000287" w:usb1="080F0000" w:usb2="00000000"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63F4F">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2655570</wp:posOffset>
              </wp:positionH>
              <wp:positionV relativeFrom="paragraph">
                <wp:posOffset>0</wp:posOffset>
              </wp:positionV>
              <wp:extent cx="20066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0066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21076">
                          <w:pPr>
                            <w:pStyle w:val="4"/>
                            <w:rPr>
                              <w:rFonts w:ascii="宋体" w:hAnsi="宋体" w:eastAsiaTheme="minorEastAsia"/>
                              <w:sz w:val="28"/>
                              <w:szCs w:val="28"/>
                            </w:rPr>
                          </w:pPr>
                          <w:r>
                            <w:rPr>
                              <w:rFonts w:ascii="宋体" w:hAnsi="宋体" w:eastAsiaTheme="minorEastAsia"/>
                              <w:sz w:val="28"/>
                              <w:szCs w:val="28"/>
                            </w:rPr>
                            <w:fldChar w:fldCharType="begin"/>
                          </w:r>
                          <w:r>
                            <w:rPr>
                              <w:rFonts w:ascii="宋体" w:hAnsi="宋体" w:eastAsiaTheme="minorEastAsia"/>
                              <w:sz w:val="28"/>
                              <w:szCs w:val="28"/>
                            </w:rPr>
                            <w:instrText xml:space="preserve"> PAGE  \* MERGEFORMAT </w:instrText>
                          </w:r>
                          <w:r>
                            <w:rPr>
                              <w:rFonts w:ascii="宋体" w:hAnsi="宋体" w:eastAsiaTheme="minorEastAsia"/>
                              <w:sz w:val="28"/>
                              <w:szCs w:val="28"/>
                            </w:rPr>
                            <w:fldChar w:fldCharType="separate"/>
                          </w:r>
                          <w:r>
                            <w:rPr>
                              <w:rFonts w:ascii="宋体" w:hAnsi="宋体" w:eastAsiaTheme="minorEastAsia"/>
                              <w:sz w:val="28"/>
                              <w:szCs w:val="28"/>
                            </w:rPr>
                            <w:t>1</w:t>
                          </w:r>
                          <w:r>
                            <w:rPr>
                              <w:rFonts w:ascii="宋体" w:hAnsi="宋体" w:eastAsiaTheme="minorEastAsia"/>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9.1pt;margin-top:0pt;height:144pt;width:15.8pt;mso-position-horizontal-relative:margin;z-index:251659264;mso-width-relative:page;mso-height-relative:page;" filled="f" stroked="f" coordsize="21600,21600" o:gfxdata="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Oe1HzWAAAACAEAAA8AAAAAAAAAAQAgAAAAIgAAAGRycy9kb3ducmV2Lnht&#10;bFBLAQIUABQAAAAIAIdO4kCO7CS2NAIAAGIEAAAOAAAAAAAAAAEAIAAAACUBAABkcnMvZTJvRG9j&#10;LnhtbFBLBQYAAAAABgAGAFkBAADLBQAAAAA=&#10;">
              <v:fill on="f" focussize="0,0"/>
              <v:stroke on="f" weight="0.5pt"/>
              <v:imagedata o:title=""/>
              <o:lock v:ext="edit" aspectratio="f"/>
              <v:textbox inset="0mm,0mm,0mm,0mm" style="mso-fit-shape-to-text:t;">
                <w:txbxContent>
                  <w:p w14:paraId="31521076">
                    <w:pPr>
                      <w:pStyle w:val="4"/>
                      <w:rPr>
                        <w:rFonts w:ascii="宋体" w:hAnsi="宋体" w:eastAsiaTheme="minorEastAsia"/>
                        <w:sz w:val="28"/>
                        <w:szCs w:val="28"/>
                      </w:rPr>
                    </w:pPr>
                    <w:r>
                      <w:rPr>
                        <w:rFonts w:ascii="宋体" w:hAnsi="宋体" w:eastAsiaTheme="minorEastAsia"/>
                        <w:sz w:val="28"/>
                        <w:szCs w:val="28"/>
                      </w:rPr>
                      <w:fldChar w:fldCharType="begin"/>
                    </w:r>
                    <w:r>
                      <w:rPr>
                        <w:rFonts w:ascii="宋体" w:hAnsi="宋体" w:eastAsiaTheme="minorEastAsia"/>
                        <w:sz w:val="28"/>
                        <w:szCs w:val="28"/>
                      </w:rPr>
                      <w:instrText xml:space="preserve"> PAGE  \* MERGEFORMAT </w:instrText>
                    </w:r>
                    <w:r>
                      <w:rPr>
                        <w:rFonts w:ascii="宋体" w:hAnsi="宋体" w:eastAsiaTheme="minorEastAsia"/>
                        <w:sz w:val="28"/>
                        <w:szCs w:val="28"/>
                      </w:rPr>
                      <w:fldChar w:fldCharType="separate"/>
                    </w:r>
                    <w:r>
                      <w:rPr>
                        <w:rFonts w:ascii="宋体" w:hAnsi="宋体" w:eastAsiaTheme="minorEastAsia"/>
                        <w:sz w:val="28"/>
                        <w:szCs w:val="28"/>
                      </w:rPr>
                      <w:t>1</w:t>
                    </w:r>
                    <w:r>
                      <w:rPr>
                        <w:rFonts w:ascii="宋体" w:hAnsi="宋体" w:eastAsia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BF401"/>
    <w:multiLevelType w:val="singleLevel"/>
    <w:tmpl w:val="96EBF401"/>
    <w:lvl w:ilvl="0" w:tentative="0">
      <w:start w:val="1"/>
      <w:numFmt w:val="chineseCounting"/>
      <w:suff w:val="nothing"/>
      <w:lvlText w:val="（%1）"/>
      <w:lvlJc w:val="left"/>
      <w:pPr>
        <w:ind w:left="240"/>
      </w:pPr>
      <w:rPr>
        <w:rFonts w:hint="eastAsia"/>
      </w:rPr>
    </w:lvl>
  </w:abstractNum>
  <w:abstractNum w:abstractNumId="1">
    <w:nsid w:val="BED8A618"/>
    <w:multiLevelType w:val="singleLevel"/>
    <w:tmpl w:val="BED8A618"/>
    <w:lvl w:ilvl="0" w:tentative="0">
      <w:start w:val="1"/>
      <w:numFmt w:val="chineseCounting"/>
      <w:suff w:val="nothing"/>
      <w:lvlText w:val="（%1）"/>
      <w:lvlJc w:val="left"/>
      <w:rPr>
        <w:rFonts w:hint="eastAsia"/>
      </w:rPr>
    </w:lvl>
  </w:abstractNum>
  <w:abstractNum w:abstractNumId="2">
    <w:nsid w:val="D025DDAF"/>
    <w:multiLevelType w:val="singleLevel"/>
    <w:tmpl w:val="D025DDAF"/>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6602D"/>
    <w:rsid w:val="27EC2E50"/>
    <w:rsid w:val="2FBFCDE7"/>
    <w:rsid w:val="58006A1D"/>
    <w:rsid w:val="59DA7AA8"/>
    <w:rsid w:val="61192BF8"/>
    <w:rsid w:val="6CFFD589"/>
    <w:rsid w:val="7176602D"/>
    <w:rsid w:val="7EFF33CD"/>
    <w:rsid w:val="99DD27B0"/>
    <w:rsid w:val="D6DDCB05"/>
    <w:rsid w:val="DFFBD385"/>
    <w:rsid w:val="DFFCA2E9"/>
    <w:rsid w:val="E5CFDE84"/>
    <w:rsid w:val="FED481C0"/>
    <w:rsid w:val="FEDD2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2616</Words>
  <Characters>2642</Characters>
  <Lines>0</Lines>
  <Paragraphs>0</Paragraphs>
  <TotalTime>93</TotalTime>
  <ScaleCrop>false</ScaleCrop>
  <LinksUpToDate>false</LinksUpToDate>
  <CharactersWithSpaces>2673</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2026-02-07T07:27:00Z</dcterms:created>
  <dc:creator>songshenghong</dc:creator>
  <cp:lastModifiedBy>G</cp:lastModifiedBy>
  <dcterms:modified xsi:type="dcterms:W3CDTF">2026-07-29T21:17:20Z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AA08712A456F4C738C1C3C1A3E0A5231_11</vt:lpwstr>
  </property>
  <property fmtid="{D5CDD505-2E9C-101B-9397-08002B2CF9AE}" pid="4" name="KSOTemplateDocerSaveRecord">
    <vt:lpwstr>eyJoZGlkIjoiNTJmMzIxNTQ3YTJiYWMxZTgxMGY4ODY4ZTdkMjA0OGQiLCJ1c2VySWQiOiIxMjcyMTkyNDkzIn0=</vt:lpwstr>
  </property>
</Properties>
</file>