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23674B">
      <w:pPr>
        <w:spacing w:line="560" w:lineRule="exact"/>
        <w:jc w:val="center"/>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云南省高速公路项目特许经营管理办法</w:t>
      </w:r>
    </w:p>
    <w:p w14:paraId="5567297A">
      <w:pPr>
        <w:spacing w:line="560" w:lineRule="exact"/>
        <w:jc w:val="center"/>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（征求意见稿）</w:t>
      </w:r>
    </w:p>
    <w:p w14:paraId="7E3CF958">
      <w:pPr>
        <w:spacing w:line="560" w:lineRule="exact"/>
        <w:jc w:val="center"/>
        <w:rPr>
          <w:rFonts w:hint="eastAsia" w:ascii="方正小标宋_GBK" w:hAnsi="方正小标宋_GBK" w:eastAsia="方正小标宋_GBK" w:cs="方正小标宋_GBK"/>
          <w:kern w:val="0"/>
          <w:sz w:val="44"/>
          <w:szCs w:val="44"/>
        </w:rPr>
      </w:pPr>
    </w:p>
    <w:p w14:paraId="120B9B5D">
      <w:pPr>
        <w:widowControl/>
        <w:snapToGrid w:val="0"/>
        <w:spacing w:line="600" w:lineRule="exact"/>
        <w:jc w:val="center"/>
        <w:rPr>
          <w:rFonts w:ascii="黑体" w:hAnsi="黑体" w:eastAsia="黑体" w:cs="Times New Roman"/>
          <w:b/>
          <w:kern w:val="0"/>
          <w:sz w:val="32"/>
          <w:szCs w:val="21"/>
        </w:rPr>
      </w:pPr>
      <w:r>
        <w:rPr>
          <w:rFonts w:hint="eastAsia" w:ascii="黑体" w:hAnsi="黑体" w:eastAsia="黑体" w:cs="Times New Roman"/>
          <w:b/>
          <w:kern w:val="0"/>
          <w:sz w:val="32"/>
          <w:szCs w:val="21"/>
        </w:rPr>
        <w:t>第一章 总则</w:t>
      </w:r>
    </w:p>
    <w:p w14:paraId="16A38022">
      <w:pPr>
        <w:spacing w:line="60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第一条</w:t>
      </w:r>
      <w:r>
        <w:rPr>
          <w:rFonts w:hint="eastAsia" w:ascii="宋体" w:hAnsi="宋体" w:eastAsia="方正仿宋_GBK" w:cs="Times New Roman"/>
          <w:kern w:val="0"/>
          <w:sz w:val="32"/>
          <w:szCs w:val="22"/>
        </w:rPr>
        <w:t xml:space="preserve"> 为加强云南省高速公路项目特许经营管理，根据《中华人民共和国公路法》《收费公路管理条例》《基础设施和公用事业特许经营管理办法》《国务院办公厅转发国家发展改革委、财政部</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rPr>
        <w:t>关于规范实施政府和社会资本合作新机制的指导意见</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rPr>
        <w:t>的通知》（国办函〔2023〕115号</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rPr>
        <w:t>、《交通运输部办公厅 国家发展改革委办公厅关于印发</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rPr>
        <w:t>收费公路政府和社会资本合作新机制操作指南</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rPr>
        <w:t>的通知》（交办财审〔2025〕24号）等法律法规规定，结合云南省实际，制定本办法。</w:t>
      </w:r>
    </w:p>
    <w:p w14:paraId="084C1211">
      <w:pPr>
        <w:spacing w:line="600" w:lineRule="exact"/>
        <w:ind w:firstLine="643" w:firstLineChars="200"/>
        <w:rPr>
          <w:rFonts w:hint="eastAsia" w:ascii="宋体" w:hAnsi="宋体" w:eastAsia="方正仿宋_GBK" w:cs="Times New Roman"/>
          <w:kern w:val="0"/>
          <w:sz w:val="32"/>
          <w:szCs w:val="22"/>
        </w:rPr>
      </w:pPr>
      <w:r>
        <w:rPr>
          <w:rFonts w:hint="eastAsia" w:ascii="宋体" w:hAnsi="宋体" w:eastAsia="方正仿宋_GBK" w:cs="Times New Roman"/>
          <w:b/>
          <w:bCs/>
          <w:kern w:val="0"/>
          <w:sz w:val="32"/>
          <w:szCs w:val="22"/>
        </w:rPr>
        <w:t>第二条</w:t>
      </w:r>
      <w:r>
        <w:rPr>
          <w:rFonts w:hint="eastAsia" w:ascii="宋体" w:hAnsi="宋体" w:eastAsia="方正仿宋_GBK" w:cs="Times New Roman"/>
          <w:kern w:val="0"/>
          <w:sz w:val="32"/>
          <w:szCs w:val="22"/>
        </w:rPr>
        <w:t xml:space="preserve"> 云南省行政区域内新建、改扩建高速公路项目（以下简称项目）的特许经营活动，包括投资、建设、运营、养护、移交等全流程管理</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rPr>
        <w:t>适用本办法。</w:t>
      </w:r>
    </w:p>
    <w:p w14:paraId="17768BAC">
      <w:pPr>
        <w:spacing w:line="600" w:lineRule="exact"/>
        <w:ind w:firstLine="640" w:firstLineChars="200"/>
        <w:rPr>
          <w:rFonts w:hint="default" w:ascii="宋体" w:hAnsi="宋体" w:eastAsia="方正仿宋_GBK" w:cs="Times New Roman"/>
          <w:kern w:val="0"/>
          <w:sz w:val="32"/>
          <w:szCs w:val="22"/>
          <w:highlight w:val="none"/>
          <w:lang w:val="en-US" w:eastAsia="zh-CN"/>
        </w:rPr>
      </w:pPr>
      <w:r>
        <w:rPr>
          <w:rFonts w:hint="eastAsia" w:ascii="宋体" w:hAnsi="宋体" w:eastAsia="方正仿宋_GBK" w:cs="Times New Roman"/>
          <w:kern w:val="0"/>
          <w:sz w:val="32"/>
          <w:szCs w:val="22"/>
          <w:highlight w:val="none"/>
        </w:rPr>
        <w:t>本办法施行</w:t>
      </w:r>
      <w:r>
        <w:rPr>
          <w:rFonts w:hint="eastAsia" w:ascii="宋体" w:hAnsi="宋体" w:eastAsia="方正仿宋_GBK" w:cs="Times New Roman"/>
          <w:kern w:val="0"/>
          <w:sz w:val="32"/>
          <w:szCs w:val="22"/>
          <w:highlight w:val="none"/>
          <w:lang w:val="en-US" w:eastAsia="zh-CN"/>
        </w:rPr>
        <w:t>前已完成招标采购程序的项目，不适用本办法。</w:t>
      </w:r>
    </w:p>
    <w:p w14:paraId="166ED01F">
      <w:pPr>
        <w:spacing w:line="600" w:lineRule="exact"/>
        <w:ind w:firstLine="643" w:firstLineChars="200"/>
        <w:rPr>
          <w:rFonts w:hint="eastAsia" w:ascii="宋体" w:hAnsi="宋体" w:eastAsia="方正仿宋_GBK" w:cs="方正仿宋_GBK"/>
          <w:sz w:val="32"/>
          <w:szCs w:val="32"/>
        </w:rPr>
      </w:pPr>
      <w:r>
        <w:rPr>
          <w:rFonts w:hint="eastAsia" w:ascii="宋体" w:hAnsi="宋体" w:eastAsia="方正仿宋_GBK" w:cs="Times New Roman"/>
          <w:b/>
          <w:bCs/>
          <w:kern w:val="0"/>
          <w:sz w:val="32"/>
          <w:szCs w:val="22"/>
        </w:rPr>
        <w:t>第三条</w:t>
      </w:r>
      <w:r>
        <w:rPr>
          <w:rFonts w:hint="eastAsia" w:ascii="宋体" w:hAnsi="宋体" w:eastAsia="方正仿宋_GBK" w:cs="Times New Roman"/>
          <w:kern w:val="0"/>
          <w:sz w:val="32"/>
          <w:szCs w:val="22"/>
        </w:rPr>
        <w:t xml:space="preserve"> 本办法所称高速公路特许经营，是指政府通过公开招标方式依法选择</w:t>
      </w:r>
      <w:r>
        <w:rPr>
          <w:rFonts w:hint="eastAsia" w:ascii="宋体" w:hAnsi="宋体" w:eastAsia="方正仿宋_GBK" w:cs="Times New Roman"/>
          <w:kern w:val="0"/>
          <w:sz w:val="32"/>
          <w:szCs w:val="22"/>
          <w:lang w:val="en-US" w:eastAsia="zh-CN"/>
        </w:rPr>
        <w:t>特许经营者</w:t>
      </w:r>
      <w:r>
        <w:rPr>
          <w:rFonts w:hint="eastAsia" w:ascii="宋体" w:hAnsi="宋体" w:eastAsia="方正仿宋_GBK" w:cs="Times New Roman"/>
          <w:kern w:val="0"/>
          <w:sz w:val="32"/>
          <w:szCs w:val="22"/>
        </w:rPr>
        <w:t>，通过</w:t>
      </w:r>
      <w:r>
        <w:rPr>
          <w:rFonts w:hint="eastAsia" w:ascii="宋体" w:hAnsi="宋体" w:eastAsia="方正仿宋_GBK" w:cs="方正仿宋_GBK"/>
          <w:sz w:val="32"/>
          <w:szCs w:val="32"/>
        </w:rPr>
        <w:t>签订特许经营</w:t>
      </w:r>
      <w:r>
        <w:rPr>
          <w:rFonts w:hint="eastAsia" w:ascii="宋体" w:hAnsi="宋体" w:eastAsia="方正仿宋_GBK" w:cs="Times New Roman"/>
          <w:kern w:val="0"/>
          <w:sz w:val="32"/>
          <w:szCs w:val="22"/>
        </w:rPr>
        <w:t>协议明确权利义务和风险分担，</w:t>
      </w:r>
      <w:r>
        <w:rPr>
          <w:rFonts w:hint="eastAsia" w:ascii="宋体" w:hAnsi="宋体" w:eastAsia="方正仿宋_GBK" w:cs="方正仿宋_GBK"/>
          <w:sz w:val="32"/>
          <w:szCs w:val="32"/>
        </w:rPr>
        <w:t>允许其在约定期限和范围内投资建设运营高速公路，提供通行及配套公共服务并获取合理收益的经营模式。</w:t>
      </w:r>
    </w:p>
    <w:p w14:paraId="1A02692B">
      <w:pPr>
        <w:spacing w:line="560" w:lineRule="exact"/>
        <w:ind w:firstLine="643" w:firstLineChars="200"/>
        <w:rPr>
          <w:rFonts w:hint="eastAsia" w:ascii="宋体" w:hAnsi="宋体" w:eastAsia="方正仿宋_GBK" w:cs="Times New Roman"/>
          <w:kern w:val="0"/>
          <w:sz w:val="32"/>
          <w:szCs w:val="22"/>
        </w:rPr>
      </w:pPr>
      <w:r>
        <w:rPr>
          <w:rFonts w:hint="eastAsia" w:ascii="宋体" w:hAnsi="宋体" w:eastAsia="方正仿宋_GBK" w:cs="Times New Roman"/>
          <w:b/>
          <w:bCs/>
          <w:kern w:val="0"/>
          <w:sz w:val="32"/>
          <w:szCs w:val="22"/>
        </w:rPr>
        <w:t>第四条</w:t>
      </w:r>
      <w:r>
        <w:rPr>
          <w:rFonts w:hint="eastAsia" w:ascii="宋体" w:hAnsi="宋体" w:eastAsia="方正仿宋_GBK" w:cs="Times New Roman"/>
          <w:kern w:val="0"/>
          <w:sz w:val="32"/>
          <w:szCs w:val="22"/>
        </w:rPr>
        <w:t xml:space="preserve"> 项目应充分论证建设必要性和建设时机，在可行性研究</w:t>
      </w:r>
      <w:r>
        <w:rPr>
          <w:rFonts w:hint="eastAsia" w:ascii="宋体" w:hAnsi="宋体" w:eastAsia="方正仿宋_GBK" w:cs="Times New Roman"/>
          <w:kern w:val="0"/>
          <w:sz w:val="32"/>
          <w:szCs w:val="22"/>
          <w:lang w:val="en-US" w:eastAsia="zh-CN"/>
        </w:rPr>
        <w:t>阶段</w:t>
      </w:r>
      <w:r>
        <w:rPr>
          <w:rFonts w:hint="eastAsia" w:ascii="宋体" w:hAnsi="宋体" w:eastAsia="方正仿宋_GBK" w:cs="Times New Roman"/>
          <w:kern w:val="0"/>
          <w:sz w:val="32"/>
          <w:szCs w:val="22"/>
        </w:rPr>
        <w:t>，</w:t>
      </w:r>
      <w:r>
        <w:rPr>
          <w:rFonts w:hint="eastAsia" w:ascii="宋体" w:hAnsi="宋体" w:eastAsia="方正仿宋_GBK" w:cs="Times New Roman"/>
          <w:kern w:val="0"/>
          <w:sz w:val="32"/>
          <w:szCs w:val="22"/>
          <w:lang w:val="en-US" w:eastAsia="zh-CN"/>
        </w:rPr>
        <w:t>科学</w:t>
      </w:r>
      <w:r>
        <w:rPr>
          <w:rFonts w:hint="eastAsia" w:ascii="宋体" w:hAnsi="宋体" w:eastAsia="方正仿宋_GBK" w:cs="Times New Roman"/>
          <w:kern w:val="0"/>
          <w:sz w:val="32"/>
          <w:szCs w:val="22"/>
        </w:rPr>
        <w:t>合理测算项目总投资</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lang w:val="en-US" w:eastAsia="zh-CN"/>
        </w:rPr>
        <w:t>按照实事求是的原则，科学、严谨</w:t>
      </w:r>
      <w:r>
        <w:rPr>
          <w:rFonts w:hint="eastAsia" w:ascii="宋体" w:hAnsi="宋体" w:eastAsia="方正仿宋_GBK" w:cs="Times New Roman"/>
          <w:kern w:val="0"/>
          <w:sz w:val="32"/>
          <w:szCs w:val="22"/>
        </w:rPr>
        <w:t>开展车流量预测和经济可行性分析，确保经营收入覆盖建设投资和运营成本，不</w:t>
      </w:r>
      <w:r>
        <w:rPr>
          <w:rFonts w:hint="eastAsia" w:ascii="宋体" w:hAnsi="宋体" w:eastAsia="方正仿宋_GBK" w:cs="Times New Roman"/>
          <w:kern w:val="0"/>
          <w:sz w:val="32"/>
          <w:szCs w:val="22"/>
          <w:lang w:val="en-US" w:eastAsia="zh-CN"/>
        </w:rPr>
        <w:t>因采用政府和社会资本合作模式额外</w:t>
      </w:r>
      <w:r>
        <w:rPr>
          <w:rFonts w:hint="eastAsia" w:ascii="宋体" w:hAnsi="宋体" w:eastAsia="方正仿宋_GBK" w:cs="Times New Roman"/>
          <w:kern w:val="0"/>
          <w:sz w:val="32"/>
          <w:szCs w:val="22"/>
        </w:rPr>
        <w:t>新增地方财政未来支出责任。</w:t>
      </w:r>
    </w:p>
    <w:p w14:paraId="476CAE95">
      <w:pPr>
        <w:spacing w:line="560" w:lineRule="exact"/>
        <w:ind w:firstLine="640" w:firstLineChars="200"/>
        <w:rPr>
          <w:rFonts w:hint="default" w:ascii="宋体" w:hAnsi="宋体" w:eastAsia="方正仿宋_GBK" w:cs="Times New Roman"/>
          <w:kern w:val="0"/>
          <w:sz w:val="32"/>
          <w:szCs w:val="22"/>
        </w:rPr>
      </w:pPr>
      <w:r>
        <w:rPr>
          <w:rFonts w:hint="eastAsia" w:ascii="宋体" w:hAnsi="宋体" w:eastAsia="方正仿宋_GBK" w:cs="Times New Roman"/>
          <w:kern w:val="0"/>
          <w:sz w:val="32"/>
          <w:szCs w:val="22"/>
          <w:highlight w:val="none"/>
          <w:lang w:val="en-US" w:eastAsia="zh-CN"/>
        </w:rPr>
        <w:t>对</w:t>
      </w:r>
      <w:r>
        <w:rPr>
          <w:rFonts w:hint="eastAsia" w:ascii="宋体" w:hAnsi="宋体" w:eastAsia="方正仿宋_GBK" w:cs="Times New Roman"/>
          <w:kern w:val="0"/>
          <w:sz w:val="32"/>
          <w:szCs w:val="22"/>
          <w:lang w:val="en-US" w:eastAsia="zh-CN"/>
        </w:rPr>
        <w:t>“投资规模大、建设难度高”且纳入国家或省级规划</w:t>
      </w:r>
      <w:r>
        <w:rPr>
          <w:rFonts w:hint="eastAsia" w:ascii="宋体" w:hAnsi="宋体" w:eastAsia="方正仿宋_GBK" w:cs="Times New Roman"/>
          <w:kern w:val="0"/>
          <w:sz w:val="32"/>
          <w:szCs w:val="22"/>
          <w:highlight w:val="none"/>
          <w:lang w:val="en-US" w:eastAsia="zh-CN"/>
        </w:rPr>
        <w:t>的项目，</w:t>
      </w:r>
      <w:r>
        <w:rPr>
          <w:rFonts w:hint="eastAsia" w:ascii="宋体" w:hAnsi="宋体" w:eastAsia="方正仿宋_GBK" w:cs="Times New Roman"/>
          <w:kern w:val="0"/>
          <w:sz w:val="32"/>
          <w:szCs w:val="22"/>
          <w:lang w:val="en-US" w:eastAsia="zh-CN"/>
        </w:rPr>
        <w:t>可依法依规按照</w:t>
      </w:r>
      <w:r>
        <w:rPr>
          <w:rFonts w:hint="eastAsia" w:ascii="宋体" w:hAnsi="宋体" w:eastAsia="方正仿宋_GBK" w:cs="Times New Roman"/>
          <w:kern w:val="0"/>
          <w:sz w:val="32"/>
          <w:szCs w:val="22"/>
          <w:highlight w:val="none"/>
          <w:lang w:val="en-US" w:eastAsia="zh-CN"/>
        </w:rPr>
        <w:t>初步设计深度开展前期工作</w:t>
      </w:r>
      <w:r>
        <w:rPr>
          <w:rFonts w:hint="eastAsia" w:ascii="宋体" w:hAnsi="宋体" w:eastAsia="方正仿宋_GBK" w:cs="Times New Roman"/>
          <w:kern w:val="0"/>
          <w:sz w:val="32"/>
          <w:szCs w:val="22"/>
          <w:lang w:val="en-US" w:eastAsia="zh-CN"/>
        </w:rPr>
        <w:t>，固化项目线位。</w:t>
      </w:r>
      <w:bookmarkStart w:id="1" w:name="_GoBack"/>
      <w:bookmarkEnd w:id="1"/>
    </w:p>
    <w:p w14:paraId="52225B4A">
      <w:pPr>
        <w:spacing w:line="560" w:lineRule="exact"/>
        <w:ind w:firstLine="640" w:firstLineChars="200"/>
        <w:rPr>
          <w:rFonts w:hint="eastAsia" w:ascii="宋体" w:hAnsi="宋体" w:eastAsia="方正仿宋_GBK" w:cs="Times New Roman"/>
          <w:kern w:val="0"/>
          <w:sz w:val="32"/>
          <w:szCs w:val="22"/>
          <w:lang w:eastAsia="zh-CN"/>
        </w:rPr>
      </w:pPr>
      <w:r>
        <w:rPr>
          <w:rFonts w:hint="eastAsia" w:ascii="宋体" w:hAnsi="宋体" w:eastAsia="方正仿宋_GBK" w:cs="Times New Roman"/>
          <w:kern w:val="0"/>
          <w:sz w:val="32"/>
          <w:szCs w:val="22"/>
        </w:rPr>
        <w:t>在严防地方政府债务</w:t>
      </w:r>
      <w:r>
        <w:rPr>
          <w:rFonts w:hint="eastAsia" w:ascii="宋体" w:hAnsi="宋体" w:eastAsia="方正仿宋_GBK" w:cs="Times New Roman"/>
          <w:kern w:val="0"/>
          <w:sz w:val="32"/>
          <w:szCs w:val="22"/>
          <w:lang w:val="en-US" w:eastAsia="zh-CN"/>
        </w:rPr>
        <w:t>风险及不新增隐性债务</w:t>
      </w:r>
      <w:r>
        <w:rPr>
          <w:rFonts w:hint="eastAsia" w:ascii="宋体" w:hAnsi="宋体" w:eastAsia="方正仿宋_GBK" w:cs="Times New Roman"/>
          <w:kern w:val="0"/>
          <w:sz w:val="32"/>
          <w:szCs w:val="22"/>
        </w:rPr>
        <w:t>的前提下，</w:t>
      </w:r>
      <w:r>
        <w:rPr>
          <w:rFonts w:hint="eastAsia" w:ascii="宋体" w:hAnsi="宋体" w:eastAsia="方正仿宋_GBK" w:cs="Times New Roman"/>
          <w:kern w:val="0"/>
          <w:sz w:val="32"/>
          <w:szCs w:val="22"/>
          <w:lang w:val="en-US" w:eastAsia="zh-CN"/>
        </w:rPr>
        <w:t>政府可按照</w:t>
      </w:r>
      <w:r>
        <w:rPr>
          <w:rFonts w:hint="eastAsia" w:ascii="宋体" w:hAnsi="宋体" w:eastAsia="方正仿宋_GBK" w:cs="Times New Roman"/>
          <w:kern w:val="0"/>
          <w:sz w:val="32"/>
          <w:szCs w:val="22"/>
        </w:rPr>
        <w:t>一视同仁的原则</w:t>
      </w:r>
      <w:r>
        <w:rPr>
          <w:rFonts w:hint="eastAsia" w:ascii="宋体" w:hAnsi="宋体" w:eastAsia="方正仿宋_GBK" w:cs="Times New Roman"/>
          <w:kern w:val="0"/>
          <w:sz w:val="32"/>
          <w:szCs w:val="22"/>
          <w:lang w:val="en-US" w:eastAsia="zh-CN"/>
        </w:rPr>
        <w:t>和有关法律法规、政策规定要求</w:t>
      </w:r>
      <w:r>
        <w:rPr>
          <w:rFonts w:hint="eastAsia" w:ascii="宋体" w:hAnsi="宋体" w:eastAsia="方正仿宋_GBK" w:cs="Times New Roman"/>
          <w:kern w:val="0"/>
          <w:sz w:val="32"/>
          <w:szCs w:val="22"/>
        </w:rPr>
        <w:t>，在项目建设期</w:t>
      </w:r>
      <w:r>
        <w:rPr>
          <w:rFonts w:hint="eastAsia" w:ascii="宋体" w:hAnsi="宋体" w:eastAsia="方正仿宋_GBK" w:cs="Times New Roman"/>
          <w:kern w:val="0"/>
          <w:sz w:val="32"/>
          <w:szCs w:val="22"/>
          <w:lang w:val="en-US" w:eastAsia="zh-CN"/>
        </w:rPr>
        <w:t>对</w:t>
      </w:r>
      <w:r>
        <w:rPr>
          <w:rFonts w:hint="eastAsia" w:ascii="宋体" w:hAnsi="宋体" w:eastAsia="方正仿宋_GBK" w:cs="Times New Roman"/>
          <w:kern w:val="0"/>
          <w:sz w:val="32"/>
          <w:szCs w:val="22"/>
        </w:rPr>
        <w:t>高速公路项目给予投资支持，</w:t>
      </w:r>
      <w:r>
        <w:rPr>
          <w:rFonts w:hint="eastAsia" w:ascii="宋体" w:hAnsi="宋体" w:eastAsia="方正仿宋_GBK" w:cs="Times New Roman"/>
          <w:kern w:val="0"/>
          <w:sz w:val="32"/>
          <w:szCs w:val="22"/>
          <w:lang w:val="en-US" w:eastAsia="zh-CN"/>
        </w:rPr>
        <w:t>投资应当与本地区经济社会发展水平和财政收支状况及承受能力相适应</w:t>
      </w:r>
      <w:r>
        <w:rPr>
          <w:rFonts w:hint="eastAsia" w:ascii="宋体" w:hAnsi="宋体" w:eastAsia="方正仿宋_GBK" w:cs="Times New Roman"/>
          <w:kern w:val="0"/>
          <w:sz w:val="32"/>
          <w:szCs w:val="22"/>
          <w:lang w:eastAsia="zh-CN"/>
        </w:rPr>
        <w:t>。</w:t>
      </w:r>
    </w:p>
    <w:p w14:paraId="5EF42BFB">
      <w:pPr>
        <w:spacing w:line="560" w:lineRule="exact"/>
        <w:ind w:firstLine="643" w:firstLineChars="200"/>
        <w:rPr>
          <w:rFonts w:hint="eastAsia" w:ascii="宋体" w:hAnsi="宋体" w:eastAsia="方正仿宋_GBK" w:cs="Times New Roman"/>
          <w:kern w:val="0"/>
          <w:sz w:val="32"/>
          <w:szCs w:val="22"/>
        </w:rPr>
      </w:pPr>
      <w:r>
        <w:rPr>
          <w:rFonts w:hint="eastAsia" w:ascii="宋体" w:hAnsi="宋体" w:eastAsia="方正仿宋_GBK" w:cs="Times New Roman"/>
          <w:b/>
          <w:bCs/>
          <w:kern w:val="0"/>
          <w:sz w:val="32"/>
          <w:szCs w:val="22"/>
        </w:rPr>
        <w:t>第五条</w:t>
      </w:r>
      <w:r>
        <w:rPr>
          <w:rFonts w:hint="eastAsia" w:ascii="宋体" w:hAnsi="宋体" w:eastAsia="方正仿宋_GBK" w:cs="Times New Roman"/>
          <w:kern w:val="0"/>
          <w:sz w:val="32"/>
          <w:szCs w:val="22"/>
        </w:rPr>
        <w:t xml:space="preserve"> 国家高速公路原则</w:t>
      </w:r>
      <w:r>
        <w:rPr>
          <w:rFonts w:hint="eastAsia" w:ascii="宋体" w:hAnsi="宋体" w:eastAsia="方正仿宋_GBK" w:cs="Times New Roman"/>
          <w:kern w:val="0"/>
          <w:sz w:val="32"/>
          <w:szCs w:val="22"/>
          <w:lang w:val="en-US" w:eastAsia="zh-CN"/>
        </w:rPr>
        <w:t>上</w:t>
      </w:r>
      <w:r>
        <w:rPr>
          <w:rFonts w:hint="eastAsia" w:ascii="宋体" w:hAnsi="宋体" w:eastAsia="方正仿宋_GBK" w:cs="Times New Roman"/>
          <w:kern w:val="0"/>
          <w:sz w:val="32"/>
          <w:szCs w:val="22"/>
        </w:rPr>
        <w:t>由省级组织实施</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rPr>
        <w:t>地方高速公路，原则</w:t>
      </w:r>
      <w:r>
        <w:rPr>
          <w:rFonts w:hint="eastAsia" w:ascii="宋体" w:hAnsi="宋体" w:eastAsia="方正仿宋_GBK" w:cs="Times New Roman"/>
          <w:kern w:val="0"/>
          <w:sz w:val="32"/>
          <w:szCs w:val="22"/>
          <w:lang w:val="en-US" w:eastAsia="zh-CN"/>
        </w:rPr>
        <w:t>上</w:t>
      </w:r>
      <w:r>
        <w:rPr>
          <w:rFonts w:hint="eastAsia" w:ascii="宋体" w:hAnsi="宋体" w:eastAsia="方正仿宋_GBK" w:cs="Times New Roman"/>
          <w:kern w:val="0"/>
          <w:sz w:val="32"/>
          <w:szCs w:val="22"/>
        </w:rPr>
        <w:t>由州（市）组织实施；跨州（市）的项目由</w:t>
      </w:r>
      <w:r>
        <w:rPr>
          <w:rFonts w:hint="eastAsia" w:ascii="宋体" w:hAnsi="宋体" w:eastAsia="方正仿宋_GBK" w:cs="Times New Roman"/>
          <w:kern w:val="0"/>
          <w:sz w:val="32"/>
          <w:szCs w:val="22"/>
          <w:lang w:eastAsia="zh-CN"/>
        </w:rPr>
        <w:t>项目投资规模大、工程量大</w:t>
      </w:r>
      <w:r>
        <w:rPr>
          <w:rFonts w:hint="eastAsia" w:ascii="宋体" w:hAnsi="宋体" w:eastAsia="方正仿宋_GBK" w:cs="Times New Roman"/>
          <w:kern w:val="0"/>
          <w:sz w:val="32"/>
          <w:szCs w:val="22"/>
        </w:rPr>
        <w:t>的州（市）为牵头</w:t>
      </w:r>
      <w:r>
        <w:rPr>
          <w:rFonts w:hint="eastAsia" w:ascii="宋体" w:hAnsi="宋体" w:eastAsia="方正仿宋_GBK" w:cs="Times New Roman"/>
          <w:kern w:val="0"/>
          <w:sz w:val="32"/>
          <w:szCs w:val="22"/>
          <w:lang w:eastAsia="zh-CN"/>
        </w:rPr>
        <w:t>协调实施</w:t>
      </w:r>
      <w:r>
        <w:rPr>
          <w:rFonts w:hint="eastAsia" w:ascii="宋体" w:hAnsi="宋体" w:eastAsia="方正仿宋_GBK" w:cs="Times New Roman"/>
          <w:kern w:val="0"/>
          <w:sz w:val="32"/>
          <w:szCs w:val="22"/>
        </w:rPr>
        <w:t>。</w:t>
      </w:r>
    </w:p>
    <w:p w14:paraId="59552E12">
      <w:pPr>
        <w:spacing w:line="560" w:lineRule="exact"/>
        <w:ind w:firstLine="640" w:firstLineChars="200"/>
        <w:rPr>
          <w:rFonts w:hint="eastAsia" w:ascii="宋体" w:hAnsi="宋体" w:eastAsia="方正仿宋_GBK" w:cs="Times New Roman"/>
          <w:kern w:val="0"/>
          <w:sz w:val="32"/>
          <w:szCs w:val="22"/>
          <w:lang w:val="en-US" w:eastAsia="zh-CN"/>
        </w:rPr>
      </w:pPr>
      <w:r>
        <w:rPr>
          <w:rFonts w:hint="eastAsia" w:ascii="宋体" w:hAnsi="宋体" w:eastAsia="方正仿宋_GBK" w:cs="Times New Roman"/>
          <w:kern w:val="0"/>
          <w:sz w:val="32"/>
          <w:szCs w:val="22"/>
          <w:lang w:val="en-US" w:eastAsia="zh-CN"/>
        </w:rPr>
        <w:t>因</w:t>
      </w:r>
      <w:r>
        <w:rPr>
          <w:rFonts w:hint="eastAsia" w:ascii="宋体" w:hAnsi="宋体" w:eastAsia="方正仿宋_GBK" w:cs="Times New Roman"/>
          <w:kern w:val="0"/>
          <w:sz w:val="32"/>
          <w:szCs w:val="22"/>
        </w:rPr>
        <w:t>重大发展战略、统筹招商等特殊情形</w:t>
      </w:r>
      <w:r>
        <w:rPr>
          <w:rFonts w:hint="eastAsia" w:ascii="宋体" w:hAnsi="宋体" w:eastAsia="方正仿宋_GBK" w:cs="方正仿宋_GBK"/>
          <w:sz w:val="32"/>
          <w:szCs w:val="32"/>
        </w:rPr>
        <w:t>需调整实施层级的</w:t>
      </w:r>
      <w:r>
        <w:rPr>
          <w:rFonts w:hint="eastAsia" w:ascii="宋体" w:hAnsi="宋体" w:eastAsia="方正仿宋_GBK" w:cs="Times New Roman"/>
          <w:kern w:val="0"/>
          <w:sz w:val="32"/>
          <w:szCs w:val="22"/>
        </w:rPr>
        <w:t>，</w:t>
      </w:r>
      <w:r>
        <w:rPr>
          <w:rFonts w:hint="eastAsia" w:ascii="宋体" w:hAnsi="宋体" w:eastAsia="方正仿宋_GBK" w:cs="Times New Roman"/>
          <w:kern w:val="0"/>
          <w:sz w:val="32"/>
          <w:szCs w:val="22"/>
          <w:lang w:val="en-US" w:eastAsia="zh-CN"/>
        </w:rPr>
        <w:t>须</w:t>
      </w:r>
      <w:r>
        <w:rPr>
          <w:rFonts w:hint="eastAsia" w:ascii="宋体" w:hAnsi="宋体" w:eastAsia="方正仿宋_GBK" w:cs="Times New Roman"/>
          <w:kern w:val="0"/>
          <w:sz w:val="32"/>
          <w:szCs w:val="22"/>
        </w:rPr>
        <w:t>经省人民政府</w:t>
      </w:r>
      <w:r>
        <w:rPr>
          <w:rFonts w:hint="eastAsia" w:ascii="宋体" w:hAnsi="宋体" w:eastAsia="方正仿宋_GBK" w:cs="Times New Roman"/>
          <w:kern w:val="0"/>
          <w:sz w:val="32"/>
          <w:szCs w:val="22"/>
          <w:lang w:val="en-US" w:eastAsia="zh-CN"/>
        </w:rPr>
        <w:t>批准。</w:t>
      </w:r>
    </w:p>
    <w:p w14:paraId="287F28D1">
      <w:pPr>
        <w:widowControl/>
        <w:snapToGrid w:val="0"/>
        <w:spacing w:line="600" w:lineRule="exact"/>
        <w:ind w:firstLine="0" w:firstLineChars="0"/>
        <w:jc w:val="center"/>
        <w:rPr>
          <w:rFonts w:ascii="宋体" w:hAnsi="宋体" w:eastAsia="方正仿宋_GBK" w:cs="Times New Roman"/>
          <w:kern w:val="0"/>
          <w:sz w:val="32"/>
          <w:szCs w:val="22"/>
        </w:rPr>
      </w:pPr>
      <w:r>
        <w:rPr>
          <w:rFonts w:hint="eastAsia" w:ascii="黑体" w:hAnsi="黑体" w:eastAsia="黑体" w:cs="Times New Roman"/>
          <w:b/>
          <w:kern w:val="0"/>
          <w:sz w:val="32"/>
          <w:szCs w:val="21"/>
        </w:rPr>
        <w:t>第二章 政府及部门职责与主体责任</w:t>
      </w:r>
    </w:p>
    <w:p w14:paraId="61826264">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w:t>
      </w:r>
      <w:r>
        <w:rPr>
          <w:rFonts w:hint="eastAsia" w:ascii="宋体" w:hAnsi="宋体" w:eastAsia="方正仿宋_GBK" w:cs="Times New Roman"/>
          <w:b/>
          <w:bCs/>
          <w:kern w:val="0"/>
          <w:sz w:val="32"/>
          <w:szCs w:val="22"/>
          <w:lang w:eastAsia="zh-CN"/>
        </w:rPr>
        <w:t>六</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省交通运输厅职责：</w:t>
      </w:r>
    </w:p>
    <w:p w14:paraId="37B52AF0">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（一）负责项目行业管理，组织开展省级事权范围内项目的前期工作；</w:t>
      </w:r>
    </w:p>
    <w:p w14:paraId="335F90DA">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（二）监督指导项目特许经营者招标及项目建设、运营和移交等活动；</w:t>
      </w:r>
    </w:p>
    <w:p w14:paraId="177EAA20">
      <w:pPr>
        <w:spacing w:line="560" w:lineRule="exact"/>
        <w:ind w:firstLine="640" w:firstLineChars="200"/>
        <w:rPr>
          <w:rFonts w:hint="eastAsia" w:ascii="宋体" w:hAnsi="宋体" w:eastAsia="方正仿宋_GBK" w:cs="Times New Roman"/>
          <w:kern w:val="0"/>
          <w:sz w:val="32"/>
          <w:szCs w:val="22"/>
          <w:lang w:eastAsia="zh-CN"/>
        </w:rPr>
      </w:pPr>
      <w:r>
        <w:rPr>
          <w:rFonts w:hint="eastAsia" w:ascii="宋体" w:hAnsi="宋体" w:eastAsia="方正仿宋_GBK" w:cs="Times New Roman"/>
          <w:kern w:val="0"/>
          <w:sz w:val="32"/>
          <w:szCs w:val="22"/>
        </w:rPr>
        <w:t>（三）对省级实施的高速公路项目，提出中央财政资金和省级财政资金安排建议并按程序报省人民政府审批</w:t>
      </w:r>
      <w:r>
        <w:rPr>
          <w:rFonts w:hint="eastAsia" w:ascii="宋体" w:hAnsi="宋体" w:eastAsia="方正仿宋_GBK" w:cs="Times New Roman"/>
          <w:kern w:val="0"/>
          <w:sz w:val="32"/>
          <w:szCs w:val="22"/>
          <w:lang w:eastAsia="zh-CN"/>
        </w:rPr>
        <w:t>；</w:t>
      </w:r>
    </w:p>
    <w:p w14:paraId="53FB4647">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（四）审查州（市）人民政府提出的地方高速公路省级财政资金安排</w:t>
      </w:r>
      <w:r>
        <w:rPr>
          <w:rFonts w:hint="eastAsia" w:ascii="宋体" w:hAnsi="宋体" w:eastAsia="方正仿宋_GBK" w:cs="Times New Roman"/>
          <w:kern w:val="0"/>
          <w:sz w:val="32"/>
          <w:szCs w:val="22"/>
          <w:lang w:val="en-US" w:eastAsia="zh-CN"/>
        </w:rPr>
        <w:t>申请并</w:t>
      </w:r>
      <w:r>
        <w:rPr>
          <w:rFonts w:hint="eastAsia" w:ascii="宋体" w:hAnsi="宋体" w:eastAsia="方正仿宋_GBK" w:cs="Times New Roman"/>
          <w:kern w:val="0"/>
          <w:sz w:val="32"/>
          <w:szCs w:val="22"/>
        </w:rPr>
        <w:t>出具意见；</w:t>
      </w:r>
    </w:p>
    <w:p w14:paraId="65FD71EA">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（五）监督地方政府落实投资支持政策。</w:t>
      </w:r>
    </w:p>
    <w:p w14:paraId="7F6E08BA">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w:t>
      </w:r>
      <w:r>
        <w:rPr>
          <w:rFonts w:hint="eastAsia" w:ascii="宋体" w:hAnsi="宋体" w:eastAsia="方正仿宋_GBK" w:cs="Times New Roman"/>
          <w:b/>
          <w:bCs/>
          <w:kern w:val="0"/>
          <w:sz w:val="32"/>
          <w:szCs w:val="22"/>
          <w:lang w:eastAsia="zh-CN"/>
        </w:rPr>
        <w:t>七</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其他省级部门职责：</w:t>
      </w:r>
    </w:p>
    <w:p w14:paraId="1F1D9DAF">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（一）</w:t>
      </w:r>
      <w:r>
        <w:rPr>
          <w:rFonts w:hint="eastAsia" w:ascii="宋体" w:hAnsi="宋体" w:eastAsia="方正仿宋_GBK" w:cs="Times New Roman"/>
          <w:kern w:val="0"/>
          <w:sz w:val="32"/>
          <w:szCs w:val="22"/>
          <w:lang w:eastAsia="zh-CN"/>
        </w:rPr>
        <w:t>省财政厅</w:t>
      </w:r>
      <w:r>
        <w:rPr>
          <w:rFonts w:hint="eastAsia" w:ascii="宋体" w:hAnsi="宋体" w:eastAsia="方正仿宋_GBK" w:cs="Times New Roman"/>
          <w:kern w:val="0"/>
          <w:sz w:val="32"/>
          <w:szCs w:val="22"/>
          <w:lang w:val="en-US" w:eastAsia="zh-CN"/>
        </w:rPr>
        <w:t>负责按照中央、</w:t>
      </w:r>
      <w:r>
        <w:rPr>
          <w:rFonts w:hint="eastAsia" w:ascii="宋体" w:hAnsi="宋体" w:eastAsia="方正仿宋_GBK" w:cs="Times New Roman"/>
          <w:kern w:val="0"/>
          <w:sz w:val="32"/>
          <w:szCs w:val="22"/>
        </w:rPr>
        <w:t>省</w:t>
      </w:r>
      <w:r>
        <w:rPr>
          <w:rFonts w:hint="eastAsia" w:ascii="宋体" w:hAnsi="宋体" w:eastAsia="方正仿宋_GBK" w:cs="Times New Roman"/>
          <w:kern w:val="0"/>
          <w:sz w:val="32"/>
          <w:szCs w:val="22"/>
          <w:lang w:val="en-US" w:eastAsia="zh-CN"/>
        </w:rPr>
        <w:t>级高速公路政策及</w:t>
      </w:r>
      <w:r>
        <w:rPr>
          <w:rFonts w:hint="eastAsia" w:ascii="宋体" w:hAnsi="宋体" w:eastAsia="方正仿宋_GBK" w:cs="Times New Roman"/>
          <w:kern w:val="0"/>
          <w:sz w:val="32"/>
          <w:szCs w:val="22"/>
        </w:rPr>
        <w:t>资金</w:t>
      </w:r>
      <w:r>
        <w:rPr>
          <w:rFonts w:hint="eastAsia" w:ascii="宋体" w:hAnsi="宋体" w:eastAsia="方正仿宋_GBK" w:cs="Times New Roman"/>
          <w:kern w:val="0"/>
          <w:sz w:val="32"/>
          <w:szCs w:val="22"/>
          <w:lang w:val="en-US" w:eastAsia="zh-CN"/>
        </w:rPr>
        <w:t>管理有关规定</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highlight w:val="none"/>
          <w:lang w:val="en-US" w:eastAsia="zh-CN"/>
        </w:rPr>
        <w:t>根据省人民政府批准的资金安排及</w:t>
      </w:r>
      <w:r>
        <w:rPr>
          <w:rFonts w:hint="eastAsia" w:ascii="宋体" w:hAnsi="宋体" w:eastAsia="方正仿宋_GBK" w:cs="Times New Roman"/>
          <w:kern w:val="0"/>
          <w:sz w:val="32"/>
          <w:szCs w:val="22"/>
          <w:lang w:val="en-US" w:eastAsia="zh-CN"/>
        </w:rPr>
        <w:t>时</w:t>
      </w:r>
      <w:r>
        <w:rPr>
          <w:rFonts w:hint="eastAsia" w:ascii="宋体" w:hAnsi="宋体" w:eastAsia="方正仿宋_GBK" w:cs="Times New Roman"/>
          <w:kern w:val="0"/>
          <w:sz w:val="32"/>
          <w:szCs w:val="22"/>
        </w:rPr>
        <w:t>下达</w:t>
      </w:r>
      <w:r>
        <w:rPr>
          <w:rFonts w:hint="eastAsia" w:ascii="宋体" w:hAnsi="宋体" w:eastAsia="方正仿宋_GBK" w:cs="Times New Roman"/>
          <w:kern w:val="0"/>
          <w:sz w:val="32"/>
          <w:szCs w:val="22"/>
          <w:lang w:val="en-US" w:eastAsia="zh-CN"/>
        </w:rPr>
        <w:t>资金</w:t>
      </w:r>
      <w:r>
        <w:rPr>
          <w:rFonts w:hint="eastAsia" w:ascii="宋体" w:hAnsi="宋体" w:eastAsia="方正仿宋_GBK" w:cs="Times New Roman"/>
          <w:kern w:val="0"/>
          <w:sz w:val="32"/>
          <w:szCs w:val="22"/>
        </w:rPr>
        <w:t>。</w:t>
      </w:r>
    </w:p>
    <w:p w14:paraId="31D44E6B">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（二）省发展改革委负责审核项目特许经营方案，依法依规履行项目审批、核准职责。</w:t>
      </w:r>
    </w:p>
    <w:p w14:paraId="1E806322">
      <w:pPr>
        <w:spacing w:line="560" w:lineRule="exact"/>
        <w:ind w:firstLine="640" w:firstLineChars="200"/>
        <w:rPr>
          <w:rFonts w:hint="eastAsia" w:ascii="宋体" w:hAnsi="宋体" w:eastAsia="方正仿宋_GBK" w:cs="Times New Roman"/>
          <w:kern w:val="0"/>
          <w:sz w:val="32"/>
          <w:szCs w:val="22"/>
        </w:rPr>
      </w:pPr>
      <w:r>
        <w:rPr>
          <w:rFonts w:hint="eastAsia" w:ascii="宋体" w:hAnsi="宋体" w:eastAsia="方正仿宋_GBK" w:cs="Times New Roman"/>
          <w:kern w:val="0"/>
          <w:sz w:val="32"/>
          <w:szCs w:val="22"/>
        </w:rPr>
        <w:t>（三）省自然资源厅、省生态环境厅、省水利厅、省林业和草原局等省直有关部门及金融管理部门按职责</w:t>
      </w:r>
      <w:r>
        <w:rPr>
          <w:rFonts w:hint="eastAsia" w:ascii="宋体" w:hAnsi="宋体" w:eastAsia="方正仿宋_GBK" w:cs="Times New Roman"/>
          <w:kern w:val="0"/>
          <w:sz w:val="32"/>
          <w:szCs w:val="22"/>
          <w:lang w:val="en-US" w:eastAsia="zh-CN"/>
        </w:rPr>
        <w:t>做好</w:t>
      </w:r>
      <w:r>
        <w:rPr>
          <w:rFonts w:hint="eastAsia" w:ascii="宋体" w:hAnsi="宋体" w:eastAsia="方正仿宋_GBK" w:cs="Times New Roman"/>
          <w:kern w:val="0"/>
          <w:sz w:val="32"/>
          <w:szCs w:val="22"/>
        </w:rPr>
        <w:t>项目</w:t>
      </w:r>
      <w:r>
        <w:rPr>
          <w:rFonts w:hint="eastAsia" w:ascii="宋体" w:hAnsi="宋体" w:eastAsia="方正仿宋_GBK" w:cs="Times New Roman"/>
          <w:kern w:val="0"/>
          <w:sz w:val="32"/>
          <w:szCs w:val="22"/>
          <w:lang w:val="en-US" w:eastAsia="zh-CN"/>
        </w:rPr>
        <w:t>全周期</w:t>
      </w:r>
      <w:r>
        <w:rPr>
          <w:rFonts w:hint="eastAsia" w:ascii="宋体" w:hAnsi="宋体" w:eastAsia="方正仿宋_GBK" w:cs="Times New Roman"/>
          <w:kern w:val="0"/>
          <w:sz w:val="32"/>
          <w:szCs w:val="22"/>
        </w:rPr>
        <w:t>要素保障</w:t>
      </w:r>
      <w:r>
        <w:rPr>
          <w:rFonts w:hint="eastAsia" w:ascii="宋体" w:hAnsi="宋体" w:eastAsia="方正仿宋_GBK" w:cs="Times New Roman"/>
          <w:kern w:val="0"/>
          <w:sz w:val="32"/>
          <w:szCs w:val="22"/>
          <w:lang w:val="en-US" w:eastAsia="zh-CN"/>
        </w:rPr>
        <w:t>与</w:t>
      </w:r>
      <w:r>
        <w:rPr>
          <w:rFonts w:hint="eastAsia" w:ascii="宋体" w:hAnsi="宋体" w:eastAsia="方正仿宋_GBK" w:cs="Times New Roman"/>
          <w:kern w:val="0"/>
          <w:sz w:val="32"/>
          <w:szCs w:val="22"/>
        </w:rPr>
        <w:t>监督管理。</w:t>
      </w:r>
    </w:p>
    <w:p w14:paraId="2EDFE597">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w:t>
      </w:r>
      <w:r>
        <w:rPr>
          <w:rFonts w:hint="eastAsia" w:ascii="宋体" w:hAnsi="宋体" w:eastAsia="方正仿宋_GBK" w:cs="Times New Roman"/>
          <w:b/>
          <w:bCs/>
          <w:kern w:val="0"/>
          <w:sz w:val="32"/>
          <w:szCs w:val="22"/>
          <w:lang w:eastAsia="zh-CN"/>
        </w:rPr>
        <w:t>八</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州（市）人民政府职责：</w:t>
      </w:r>
    </w:p>
    <w:p w14:paraId="06F401A1">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（一）批准</w:t>
      </w:r>
      <w:r>
        <w:rPr>
          <w:rFonts w:hint="eastAsia" w:ascii="宋体" w:hAnsi="宋体" w:eastAsia="方正仿宋_GBK" w:cs="Times New Roman"/>
          <w:kern w:val="0"/>
          <w:sz w:val="32"/>
          <w:szCs w:val="22"/>
          <w:lang w:val="en-US" w:eastAsia="zh-CN"/>
        </w:rPr>
        <w:t>本</w:t>
      </w:r>
      <w:r>
        <w:rPr>
          <w:rFonts w:hint="eastAsia" w:ascii="宋体" w:hAnsi="宋体" w:eastAsia="方正仿宋_GBK" w:cs="Times New Roman"/>
          <w:kern w:val="0"/>
          <w:sz w:val="32"/>
          <w:szCs w:val="22"/>
        </w:rPr>
        <w:t>级财政资金投入方式、规模；</w:t>
      </w:r>
    </w:p>
    <w:p w14:paraId="04C5291A">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（二）授权本级交通行业主管部门或事业单位作为实施机构</w:t>
      </w:r>
      <w:r>
        <w:rPr>
          <w:rFonts w:hint="eastAsia" w:ascii="宋体" w:hAnsi="宋体" w:eastAsia="方正仿宋_GBK" w:cs="Times New Roman"/>
          <w:kern w:val="0"/>
          <w:sz w:val="32"/>
          <w:szCs w:val="22"/>
          <w:lang w:val="en-US" w:eastAsia="zh-CN"/>
        </w:rPr>
        <w:t>并</w:t>
      </w:r>
      <w:r>
        <w:rPr>
          <w:rFonts w:hint="eastAsia" w:ascii="宋体" w:hAnsi="宋体" w:eastAsia="方正仿宋_GBK" w:cs="Times New Roman"/>
          <w:kern w:val="0"/>
          <w:sz w:val="32"/>
          <w:szCs w:val="22"/>
        </w:rPr>
        <w:t>明确授权范围；</w:t>
      </w:r>
    </w:p>
    <w:p w14:paraId="249938C1">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（三）确定本级政府资本金注入项目的政府出资人代表；</w:t>
      </w:r>
    </w:p>
    <w:p w14:paraId="0097C1FA">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（四）统筹负责辖区内高速公路项目的征地拆迁工作，协调项目建设用地、用水、用电和建设环境等要素保障；</w:t>
      </w:r>
    </w:p>
    <w:p w14:paraId="2E6DA03A">
      <w:pPr>
        <w:spacing w:line="560" w:lineRule="exact"/>
        <w:ind w:firstLine="640" w:firstLineChars="200"/>
        <w:rPr>
          <w:rFonts w:hint="eastAsia" w:ascii="宋体" w:hAnsi="宋体" w:eastAsia="方正仿宋_GBK" w:cs="Times New Roman"/>
          <w:kern w:val="0"/>
          <w:sz w:val="32"/>
          <w:szCs w:val="22"/>
        </w:rPr>
      </w:pPr>
      <w:r>
        <w:rPr>
          <w:rFonts w:hint="eastAsia" w:ascii="宋体" w:hAnsi="宋体" w:eastAsia="方正仿宋_GBK" w:cs="Times New Roman"/>
          <w:kern w:val="0"/>
          <w:sz w:val="32"/>
          <w:szCs w:val="22"/>
        </w:rPr>
        <w:t>（五）依法负责项目所在区域突发事件的应急处置。</w:t>
      </w:r>
    </w:p>
    <w:p w14:paraId="6EC3EFC5">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w:t>
      </w:r>
      <w:r>
        <w:rPr>
          <w:rFonts w:hint="eastAsia" w:ascii="宋体" w:hAnsi="宋体" w:eastAsia="方正仿宋_GBK" w:cs="Times New Roman"/>
          <w:b/>
          <w:bCs/>
          <w:kern w:val="0"/>
          <w:sz w:val="32"/>
          <w:szCs w:val="22"/>
          <w:lang w:eastAsia="zh-CN"/>
        </w:rPr>
        <w:t>九</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w:t>
      </w:r>
      <w:r>
        <w:rPr>
          <w:rFonts w:ascii="宋体" w:hAnsi="宋体" w:eastAsia="方正仿宋_GBK" w:cs="Times New Roman"/>
          <w:kern w:val="0"/>
          <w:sz w:val="32"/>
          <w:szCs w:val="22"/>
        </w:rPr>
        <w:t>实施机构根据</w:t>
      </w:r>
      <w:r>
        <w:rPr>
          <w:rFonts w:hint="eastAsia" w:ascii="宋体" w:hAnsi="宋体" w:eastAsia="方正仿宋_GBK" w:cs="Times New Roman"/>
          <w:kern w:val="0"/>
          <w:sz w:val="32"/>
          <w:szCs w:val="22"/>
        </w:rPr>
        <w:t>本级</w:t>
      </w:r>
      <w:r>
        <w:rPr>
          <w:rFonts w:ascii="宋体" w:hAnsi="宋体" w:eastAsia="方正仿宋_GBK" w:cs="Times New Roman"/>
          <w:kern w:val="0"/>
          <w:sz w:val="32"/>
          <w:szCs w:val="22"/>
        </w:rPr>
        <w:t>政府授权，履行下列职责</w:t>
      </w:r>
      <w:r>
        <w:rPr>
          <w:rFonts w:hint="eastAsia" w:ascii="宋体" w:hAnsi="宋体" w:eastAsia="方正仿宋_GBK" w:cs="Times New Roman"/>
          <w:kern w:val="0"/>
          <w:sz w:val="32"/>
          <w:szCs w:val="22"/>
          <w:lang w:eastAsia="zh-CN"/>
        </w:rPr>
        <w:t>：</w:t>
      </w:r>
    </w:p>
    <w:p w14:paraId="5F5BFDCA">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（一）</w:t>
      </w:r>
      <w:r>
        <w:rPr>
          <w:rFonts w:ascii="宋体" w:hAnsi="宋体" w:eastAsia="方正仿宋_GBK" w:cs="Times New Roman"/>
          <w:kern w:val="0"/>
          <w:sz w:val="32"/>
          <w:szCs w:val="22"/>
        </w:rPr>
        <w:t>负责组织编制特许经营方案，</w:t>
      </w:r>
      <w:r>
        <w:rPr>
          <w:rFonts w:hint="eastAsia" w:ascii="宋体" w:hAnsi="宋体" w:eastAsia="方正仿宋_GBK" w:cs="Times New Roman"/>
          <w:kern w:val="0"/>
          <w:sz w:val="32"/>
          <w:szCs w:val="22"/>
        </w:rPr>
        <w:t>履行项目前期工作行业审查程序</w:t>
      </w:r>
      <w:r>
        <w:rPr>
          <w:rFonts w:hint="eastAsia" w:ascii="宋体" w:hAnsi="宋体" w:eastAsia="方正仿宋_GBK" w:cs="Times New Roman"/>
          <w:kern w:val="0"/>
          <w:sz w:val="32"/>
          <w:szCs w:val="22"/>
          <w:lang w:eastAsia="zh-CN"/>
        </w:rPr>
        <w:t>，</w:t>
      </w:r>
      <w:r>
        <w:rPr>
          <w:rFonts w:ascii="宋体" w:hAnsi="宋体" w:eastAsia="方正仿宋_GBK" w:cs="Times New Roman"/>
          <w:kern w:val="0"/>
          <w:sz w:val="32"/>
          <w:szCs w:val="22"/>
        </w:rPr>
        <w:t>组织开展特许经营可行性论证；</w:t>
      </w:r>
    </w:p>
    <w:p w14:paraId="4155BB15">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（二）</w:t>
      </w:r>
      <w:r>
        <w:rPr>
          <w:rFonts w:ascii="宋体" w:hAnsi="宋体" w:eastAsia="方正仿宋_GBK" w:cs="Times New Roman"/>
          <w:kern w:val="0"/>
          <w:sz w:val="32"/>
          <w:szCs w:val="22"/>
        </w:rPr>
        <w:t>负责按审定的特许经营方案组织开展特许经营者招选工作；</w:t>
      </w:r>
    </w:p>
    <w:p w14:paraId="52A774F8">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（三）</w:t>
      </w:r>
      <w:r>
        <w:rPr>
          <w:rFonts w:ascii="宋体" w:hAnsi="宋体" w:eastAsia="方正仿宋_GBK" w:cs="Times New Roman"/>
          <w:kern w:val="0"/>
          <w:sz w:val="32"/>
          <w:szCs w:val="22"/>
        </w:rPr>
        <w:t>负责与依法选定的特许经营者</w:t>
      </w:r>
      <w:r>
        <w:rPr>
          <w:rFonts w:hint="eastAsia" w:ascii="宋体" w:hAnsi="宋体" w:eastAsia="方正仿宋_GBK" w:cs="Times New Roman"/>
          <w:kern w:val="0"/>
          <w:sz w:val="32"/>
          <w:szCs w:val="22"/>
          <w:lang w:eastAsia="zh-CN"/>
        </w:rPr>
        <w:t>（项目公司）</w:t>
      </w:r>
      <w:r>
        <w:rPr>
          <w:rFonts w:ascii="宋体" w:hAnsi="宋体" w:eastAsia="方正仿宋_GBK" w:cs="Times New Roman"/>
          <w:kern w:val="0"/>
          <w:sz w:val="32"/>
          <w:szCs w:val="22"/>
        </w:rPr>
        <w:t>签订特许经营协议，监督特许经营者</w:t>
      </w:r>
      <w:r>
        <w:rPr>
          <w:rFonts w:hint="eastAsia" w:ascii="宋体" w:hAnsi="宋体" w:eastAsia="方正仿宋_GBK" w:cs="Times New Roman"/>
          <w:kern w:val="0"/>
          <w:sz w:val="32"/>
          <w:szCs w:val="22"/>
        </w:rPr>
        <w:t>（项目公司）</w:t>
      </w:r>
      <w:r>
        <w:rPr>
          <w:rFonts w:ascii="宋体" w:hAnsi="宋体" w:eastAsia="方正仿宋_GBK" w:cs="Times New Roman"/>
          <w:kern w:val="0"/>
          <w:sz w:val="32"/>
          <w:szCs w:val="22"/>
        </w:rPr>
        <w:t>依法履约；</w:t>
      </w:r>
    </w:p>
    <w:p w14:paraId="34487971">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（四）</w:t>
      </w:r>
      <w:r>
        <w:rPr>
          <w:rFonts w:ascii="宋体" w:hAnsi="宋体" w:eastAsia="方正仿宋_GBK" w:cs="Times New Roman"/>
          <w:kern w:val="0"/>
          <w:sz w:val="32"/>
          <w:szCs w:val="22"/>
        </w:rPr>
        <w:t>负责项目实施监管、特许经营期满移交接收；</w:t>
      </w:r>
    </w:p>
    <w:p w14:paraId="6175B26D">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（五）</w:t>
      </w:r>
      <w:r>
        <w:rPr>
          <w:rFonts w:ascii="宋体" w:hAnsi="宋体" w:eastAsia="方正仿宋_GBK" w:cs="Times New Roman"/>
          <w:kern w:val="0"/>
          <w:sz w:val="32"/>
          <w:szCs w:val="22"/>
        </w:rPr>
        <w:t>按规定在全国政府和社会资本合作项目信息系统中填报或组织特许经营者/项目公司填报相关信息。</w:t>
      </w:r>
    </w:p>
    <w:p w14:paraId="38E95CEA">
      <w:pPr>
        <w:spacing w:line="560" w:lineRule="exact"/>
        <w:ind w:firstLine="643" w:firstLineChars="200"/>
        <w:rPr>
          <w:rFonts w:hint="eastAsia" w:ascii="宋体" w:hAnsi="宋体" w:eastAsia="方正仿宋_GBK" w:cs="Times New Roman"/>
          <w:b w:val="0"/>
          <w:bCs w:val="0"/>
          <w:kern w:val="0"/>
          <w:sz w:val="32"/>
          <w:szCs w:val="22"/>
          <w:lang w:val="en-US" w:eastAsia="zh-CN"/>
        </w:rPr>
      </w:pPr>
      <w:r>
        <w:rPr>
          <w:rFonts w:hint="eastAsia" w:ascii="宋体" w:hAnsi="宋体" w:eastAsia="方正仿宋_GBK" w:cs="Times New Roman"/>
          <w:b/>
          <w:bCs/>
          <w:kern w:val="0"/>
          <w:sz w:val="32"/>
          <w:szCs w:val="22"/>
        </w:rPr>
        <w:t>第十条</w:t>
      </w:r>
      <w:r>
        <w:rPr>
          <w:rFonts w:hint="eastAsia" w:ascii="宋体" w:hAnsi="宋体" w:eastAsia="方正仿宋_GBK" w:cs="Times New Roman"/>
          <w:b/>
          <w:bCs/>
          <w:kern w:val="0"/>
          <w:sz w:val="32"/>
          <w:szCs w:val="22"/>
          <w:lang w:val="en-US" w:eastAsia="zh-CN"/>
        </w:rPr>
        <w:t xml:space="preserve"> </w:t>
      </w:r>
      <w:r>
        <w:rPr>
          <w:rFonts w:hint="eastAsia" w:ascii="宋体" w:hAnsi="宋体" w:eastAsia="方正仿宋_GBK" w:cs="Times New Roman"/>
          <w:b w:val="0"/>
          <w:bCs w:val="0"/>
          <w:kern w:val="0"/>
          <w:sz w:val="32"/>
          <w:szCs w:val="22"/>
          <w:lang w:val="en-US" w:eastAsia="zh-CN"/>
        </w:rPr>
        <w:t>政府出资人代表</w:t>
      </w:r>
      <w:r>
        <w:rPr>
          <w:rFonts w:ascii="宋体" w:hAnsi="宋体" w:eastAsia="方正仿宋_GBK" w:cs="Times New Roman"/>
          <w:kern w:val="0"/>
          <w:sz w:val="32"/>
          <w:szCs w:val="22"/>
        </w:rPr>
        <w:t>根据</w:t>
      </w:r>
      <w:r>
        <w:rPr>
          <w:rFonts w:hint="eastAsia" w:ascii="宋体" w:hAnsi="宋体" w:eastAsia="方正仿宋_GBK" w:cs="Times New Roman"/>
          <w:kern w:val="0"/>
          <w:sz w:val="32"/>
          <w:szCs w:val="22"/>
        </w:rPr>
        <w:t>本级</w:t>
      </w:r>
      <w:r>
        <w:rPr>
          <w:rFonts w:ascii="宋体" w:hAnsi="宋体" w:eastAsia="方正仿宋_GBK" w:cs="Times New Roman"/>
          <w:kern w:val="0"/>
          <w:sz w:val="32"/>
          <w:szCs w:val="22"/>
        </w:rPr>
        <w:t>政府授权</w:t>
      </w:r>
      <w:r>
        <w:rPr>
          <w:rFonts w:hint="eastAsia" w:ascii="宋体" w:hAnsi="宋体" w:eastAsia="方正仿宋_GBK" w:cs="Times New Roman"/>
          <w:kern w:val="0"/>
          <w:sz w:val="32"/>
          <w:szCs w:val="22"/>
          <w:lang w:eastAsia="zh-CN"/>
        </w:rPr>
        <w:t>，履行下列职责：</w:t>
      </w:r>
    </w:p>
    <w:p w14:paraId="3AC75EB1">
      <w:pPr>
        <w:spacing w:line="560" w:lineRule="exact"/>
        <w:ind w:firstLine="640" w:firstLineChars="200"/>
        <w:rPr>
          <w:rFonts w:hint="eastAsia" w:ascii="宋体" w:hAnsi="宋体" w:eastAsia="方正仿宋_GBK" w:cs="Times New Roman"/>
          <w:b w:val="0"/>
          <w:bCs w:val="0"/>
          <w:kern w:val="0"/>
          <w:sz w:val="32"/>
          <w:szCs w:val="22"/>
          <w:lang w:val="en-US" w:eastAsia="zh-CN"/>
        </w:rPr>
      </w:pPr>
      <w:r>
        <w:rPr>
          <w:rFonts w:hint="eastAsia" w:ascii="宋体" w:hAnsi="宋体" w:eastAsia="方正仿宋_GBK" w:cs="Times New Roman"/>
          <w:b w:val="0"/>
          <w:bCs w:val="0"/>
          <w:kern w:val="0"/>
          <w:sz w:val="32"/>
          <w:szCs w:val="22"/>
          <w:lang w:val="en-US" w:eastAsia="zh-CN"/>
        </w:rPr>
        <w:t>（一）依法依约将财政资金注入项目公司并对资金使用情况进行监督；</w:t>
      </w:r>
    </w:p>
    <w:p w14:paraId="1A350094">
      <w:pPr>
        <w:spacing w:line="560" w:lineRule="exact"/>
        <w:ind w:firstLine="640" w:firstLineChars="200"/>
        <w:rPr>
          <w:rFonts w:hint="eastAsia" w:ascii="宋体" w:hAnsi="宋体" w:eastAsia="方正仿宋_GBK" w:cs="Times New Roman"/>
          <w:b w:val="0"/>
          <w:bCs w:val="0"/>
          <w:kern w:val="0"/>
          <w:sz w:val="32"/>
          <w:szCs w:val="22"/>
          <w:lang w:val="en-US" w:eastAsia="zh-CN"/>
        </w:rPr>
      </w:pPr>
      <w:r>
        <w:rPr>
          <w:rFonts w:hint="eastAsia" w:ascii="宋体" w:hAnsi="宋体" w:eastAsia="方正仿宋_GBK" w:cs="Times New Roman"/>
          <w:b w:val="0"/>
          <w:bCs w:val="0"/>
          <w:kern w:val="0"/>
          <w:sz w:val="32"/>
          <w:szCs w:val="22"/>
          <w:lang w:val="en-US" w:eastAsia="zh-CN"/>
        </w:rPr>
        <w:t>（二）代表政府就注入资本金出资持有项目公司股权并享有相关权益；</w:t>
      </w:r>
    </w:p>
    <w:p w14:paraId="7750AA0D">
      <w:pPr>
        <w:spacing w:line="560" w:lineRule="exact"/>
        <w:ind w:left="638" w:leftChars="266" w:firstLine="0" w:firstLineChars="0"/>
        <w:rPr>
          <w:rFonts w:ascii="宋体" w:hAnsi="宋体" w:eastAsia="方正仿宋_GBK" w:cs="Times New Roman"/>
          <w:kern w:val="0"/>
          <w:sz w:val="32"/>
          <w:szCs w:val="22"/>
        </w:rPr>
      </w:pPr>
      <w:r>
        <w:rPr>
          <w:rFonts w:hint="eastAsia" w:ascii="宋体" w:hAnsi="宋体" w:eastAsia="方正仿宋_GBK" w:cs="Times New Roman"/>
          <w:b w:val="0"/>
          <w:bCs w:val="0"/>
          <w:kern w:val="0"/>
          <w:sz w:val="32"/>
          <w:szCs w:val="22"/>
          <w:lang w:val="en-US" w:eastAsia="zh-CN"/>
        </w:rPr>
        <w:t>（三）发挥政府投资支持、产业引导、监督管理等作用。</w:t>
      </w:r>
      <w:r>
        <w:rPr>
          <w:rFonts w:hint="eastAsia" w:ascii="宋体" w:hAnsi="宋体" w:eastAsia="方正仿宋_GBK" w:cs="Times New Roman"/>
          <w:b/>
          <w:bCs/>
          <w:kern w:val="0"/>
          <w:sz w:val="32"/>
          <w:szCs w:val="22"/>
        </w:rPr>
        <w:t>第十一条</w:t>
      </w:r>
      <w:r>
        <w:rPr>
          <w:rFonts w:hint="eastAsia" w:ascii="宋体" w:hAnsi="宋体" w:eastAsia="方正仿宋_GBK" w:cs="Times New Roman"/>
          <w:kern w:val="0"/>
          <w:sz w:val="32"/>
          <w:szCs w:val="22"/>
        </w:rPr>
        <w:t xml:space="preserve"> 特许经营者（项目公司）履行下列职责：</w:t>
      </w:r>
    </w:p>
    <w:p w14:paraId="549FFFEA">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（一）与实施机构签订初步协议或特许经营协议</w:t>
      </w:r>
      <w:r>
        <w:rPr>
          <w:rFonts w:ascii="宋体" w:hAnsi="宋体" w:eastAsia="方正仿宋_GBK" w:cs="Times New Roman"/>
          <w:kern w:val="0"/>
          <w:sz w:val="32"/>
          <w:szCs w:val="22"/>
        </w:rPr>
        <w:t>；</w:t>
      </w:r>
    </w:p>
    <w:p w14:paraId="1A1FFFF5">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（二）履行</w:t>
      </w:r>
      <w:r>
        <w:rPr>
          <w:rFonts w:ascii="宋体" w:hAnsi="宋体" w:eastAsia="方正仿宋_GBK" w:cs="Times New Roman"/>
          <w:kern w:val="0"/>
          <w:sz w:val="32"/>
          <w:szCs w:val="22"/>
        </w:rPr>
        <w:t>项目法人</w:t>
      </w:r>
      <w:r>
        <w:rPr>
          <w:rFonts w:hint="eastAsia" w:ascii="宋体" w:hAnsi="宋体" w:eastAsia="方正仿宋_GBK" w:cs="Times New Roman"/>
          <w:kern w:val="0"/>
          <w:sz w:val="32"/>
          <w:szCs w:val="22"/>
        </w:rPr>
        <w:t>职责</w:t>
      </w:r>
      <w:r>
        <w:rPr>
          <w:rFonts w:ascii="宋体" w:hAnsi="宋体" w:eastAsia="方正仿宋_GBK" w:cs="Times New Roman"/>
          <w:kern w:val="0"/>
          <w:sz w:val="32"/>
          <w:szCs w:val="22"/>
        </w:rPr>
        <w:t>，</w:t>
      </w:r>
      <w:r>
        <w:rPr>
          <w:rFonts w:hint="eastAsia" w:ascii="宋体" w:hAnsi="宋体" w:eastAsia="方正仿宋_GBK" w:cs="Times New Roman"/>
          <w:kern w:val="0"/>
          <w:sz w:val="32"/>
          <w:szCs w:val="22"/>
        </w:rPr>
        <w:t>全面负责项目投融资、建设、运营管理、债务偿还和移交工作；</w:t>
      </w:r>
    </w:p>
    <w:p w14:paraId="7DC5177E">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（三）</w:t>
      </w:r>
      <w:r>
        <w:rPr>
          <w:rFonts w:ascii="宋体" w:hAnsi="宋体" w:eastAsia="方正仿宋_GBK" w:cs="Times New Roman"/>
          <w:kern w:val="0"/>
          <w:sz w:val="32"/>
          <w:szCs w:val="22"/>
        </w:rPr>
        <w:t>配合项目沿线政府开展项目征地拆迁工作，按协议约定承担土地使用及拆迁补偿费等相关费用；</w:t>
      </w:r>
    </w:p>
    <w:p w14:paraId="198FBDF3">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（四）</w:t>
      </w:r>
      <w:r>
        <w:rPr>
          <w:rFonts w:ascii="宋体" w:hAnsi="宋体" w:eastAsia="方正仿宋_GBK" w:cs="Times New Roman"/>
          <w:kern w:val="0"/>
          <w:sz w:val="32"/>
          <w:szCs w:val="22"/>
        </w:rPr>
        <w:t>服从政府及其有关部门的统一调度和应急指挥，负责项目突发事件的应急</w:t>
      </w:r>
      <w:r>
        <w:rPr>
          <w:rFonts w:hint="eastAsia" w:ascii="宋体" w:hAnsi="宋体" w:eastAsia="方正仿宋_GBK" w:cs="Times New Roman"/>
          <w:kern w:val="0"/>
          <w:sz w:val="32"/>
          <w:szCs w:val="22"/>
          <w:lang w:val="en-US" w:eastAsia="zh-CN"/>
        </w:rPr>
        <w:t>处置</w:t>
      </w:r>
      <w:r>
        <w:rPr>
          <w:rFonts w:ascii="宋体" w:hAnsi="宋体" w:eastAsia="方正仿宋_GBK" w:cs="Times New Roman"/>
          <w:kern w:val="0"/>
          <w:sz w:val="32"/>
          <w:szCs w:val="22"/>
        </w:rPr>
        <w:t>；</w:t>
      </w:r>
    </w:p>
    <w:p w14:paraId="500916F6">
      <w:pPr>
        <w:spacing w:line="560" w:lineRule="exact"/>
        <w:ind w:firstLine="640" w:firstLineChars="200"/>
        <w:rPr>
          <w:rFonts w:ascii="黑体" w:hAnsi="黑体" w:eastAsia="黑体" w:cs="Times New Roman"/>
          <w:b/>
          <w:kern w:val="0"/>
          <w:sz w:val="32"/>
          <w:szCs w:val="21"/>
        </w:rPr>
      </w:pPr>
      <w:r>
        <w:rPr>
          <w:rFonts w:hint="eastAsia" w:ascii="宋体" w:hAnsi="宋体" w:eastAsia="方正仿宋_GBK" w:cs="Times New Roman"/>
          <w:kern w:val="0"/>
          <w:sz w:val="32"/>
          <w:szCs w:val="22"/>
        </w:rPr>
        <w:t>（五）</w:t>
      </w:r>
      <w:r>
        <w:rPr>
          <w:rFonts w:ascii="宋体" w:hAnsi="宋体" w:eastAsia="方正仿宋_GBK" w:cs="Times New Roman"/>
          <w:kern w:val="0"/>
          <w:sz w:val="32"/>
          <w:szCs w:val="22"/>
        </w:rPr>
        <w:t>特许经营期满，按照特许经营协议约定依法依规无偿移交项目</w:t>
      </w:r>
      <w:r>
        <w:rPr>
          <w:rFonts w:hint="eastAsia" w:ascii="宋体" w:hAnsi="宋体" w:eastAsia="方正仿宋_GBK" w:cs="Times New Roman"/>
          <w:kern w:val="0"/>
          <w:sz w:val="32"/>
          <w:szCs w:val="22"/>
        </w:rPr>
        <w:t>。</w:t>
      </w:r>
    </w:p>
    <w:p w14:paraId="758B23A5">
      <w:pPr>
        <w:widowControl/>
        <w:snapToGrid w:val="0"/>
        <w:spacing w:line="600" w:lineRule="exact"/>
        <w:jc w:val="center"/>
        <w:rPr>
          <w:rFonts w:ascii="黑体" w:hAnsi="黑体" w:eastAsia="黑体" w:cs="Times New Roman"/>
          <w:b/>
          <w:kern w:val="0"/>
          <w:sz w:val="32"/>
          <w:szCs w:val="21"/>
        </w:rPr>
      </w:pPr>
      <w:r>
        <w:rPr>
          <w:rFonts w:hint="eastAsia" w:ascii="黑体" w:hAnsi="黑体" w:eastAsia="黑体" w:cs="Times New Roman"/>
          <w:b/>
          <w:kern w:val="0"/>
          <w:sz w:val="32"/>
          <w:szCs w:val="21"/>
        </w:rPr>
        <w:t>第三章 特许经营方案的编制与审核</w:t>
      </w:r>
    </w:p>
    <w:p w14:paraId="2E6162D7">
      <w:pPr>
        <w:spacing w:line="560" w:lineRule="exact"/>
        <w:ind w:firstLine="643" w:firstLineChars="200"/>
        <w:rPr>
          <w:rFonts w:hint="default" w:ascii="宋体" w:hAnsi="宋体" w:eastAsia="方正仿宋_GBK" w:cs="Times New Roman"/>
          <w:kern w:val="0"/>
          <w:sz w:val="32"/>
          <w:szCs w:val="22"/>
          <w:lang w:val="en-US"/>
        </w:rPr>
      </w:pPr>
      <w:r>
        <w:rPr>
          <w:rFonts w:hint="eastAsia" w:ascii="宋体" w:hAnsi="宋体" w:eastAsia="方正仿宋_GBK" w:cs="Times New Roman"/>
          <w:b/>
          <w:bCs/>
          <w:kern w:val="0"/>
          <w:sz w:val="32"/>
          <w:szCs w:val="22"/>
        </w:rPr>
        <w:t>第十二条</w:t>
      </w:r>
      <w:r>
        <w:rPr>
          <w:rFonts w:hint="eastAsia" w:ascii="宋体" w:hAnsi="宋体" w:eastAsia="方正仿宋_GBK" w:cs="Times New Roman"/>
          <w:kern w:val="0"/>
          <w:sz w:val="32"/>
          <w:szCs w:val="22"/>
        </w:rPr>
        <w:t xml:space="preserve"> 项目实施机构负责按照</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rPr>
        <w:t>政府和社会资本合作项目特许经营方案编写</w:t>
      </w:r>
      <w:r>
        <w:rPr>
          <w:rFonts w:hint="eastAsia" w:ascii="宋体" w:hAnsi="宋体" w:eastAsia="方正仿宋_GBK" w:cs="Times New Roman"/>
          <w:kern w:val="0"/>
          <w:sz w:val="32"/>
          <w:szCs w:val="22"/>
          <w:lang w:eastAsia="zh-CN"/>
        </w:rPr>
        <w:t>大纲（</w:t>
      </w:r>
      <w:r>
        <w:rPr>
          <w:rFonts w:hint="eastAsia" w:ascii="宋体" w:hAnsi="宋体" w:eastAsia="方正仿宋_GBK" w:cs="Times New Roman"/>
          <w:kern w:val="0"/>
          <w:sz w:val="32"/>
          <w:szCs w:val="22"/>
          <w:lang w:val="en-US" w:eastAsia="zh-CN"/>
        </w:rPr>
        <w:t>2024年试行版</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lang w:val="en-US" w:eastAsia="zh-CN"/>
        </w:rPr>
        <w:t>要求，结合项目</w:t>
      </w:r>
      <w:r>
        <w:rPr>
          <w:rFonts w:hint="eastAsia" w:ascii="宋体" w:hAnsi="宋体" w:eastAsia="方正仿宋_GBK" w:cs="Times New Roman"/>
          <w:kern w:val="0"/>
          <w:sz w:val="32"/>
          <w:szCs w:val="22"/>
          <w:lang w:eastAsia="zh-CN"/>
        </w:rPr>
        <w:t>工程可行性研究报告，</w:t>
      </w:r>
      <w:r>
        <w:rPr>
          <w:rFonts w:hint="eastAsia" w:ascii="宋体" w:hAnsi="宋体" w:eastAsia="方正仿宋_GBK" w:cs="Times New Roman"/>
          <w:kern w:val="0"/>
          <w:sz w:val="32"/>
          <w:szCs w:val="22"/>
        </w:rPr>
        <w:t>组织编制特许经营方案</w:t>
      </w:r>
      <w:r>
        <w:rPr>
          <w:rFonts w:hint="eastAsia" w:ascii="宋体" w:hAnsi="宋体" w:eastAsia="方正仿宋_GBK" w:cs="Times New Roman"/>
          <w:kern w:val="0"/>
          <w:sz w:val="32"/>
          <w:szCs w:val="22"/>
          <w:lang w:val="en-US" w:eastAsia="zh-CN"/>
        </w:rPr>
        <w:t>。</w:t>
      </w:r>
    </w:p>
    <w:p w14:paraId="4F95CF7B">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项目实施机构在特许经营方案编制期间，可面向社会资本和金融机构开展市场测试，了解潜在社会资本的投资意向和条件、投融资能力以及金融机构融资意愿等信息，并根据市场测试结果完善特许经营方案。</w:t>
      </w:r>
    </w:p>
    <w:p w14:paraId="78834C45">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特许经营方案可</w:t>
      </w:r>
      <w:r>
        <w:rPr>
          <w:rFonts w:hint="eastAsia" w:ascii="宋体" w:hAnsi="宋体" w:eastAsia="方正仿宋_GBK" w:cs="Times New Roman"/>
          <w:kern w:val="0"/>
          <w:sz w:val="32"/>
          <w:szCs w:val="22"/>
          <w:lang w:eastAsia="zh-CN"/>
        </w:rPr>
        <w:t>依法</w:t>
      </w:r>
      <w:r>
        <w:rPr>
          <w:rFonts w:hint="eastAsia" w:ascii="宋体" w:hAnsi="宋体" w:eastAsia="方正仿宋_GBK" w:cs="Times New Roman"/>
          <w:kern w:val="0"/>
          <w:sz w:val="32"/>
          <w:szCs w:val="22"/>
        </w:rPr>
        <w:t>委托具有相应能力和经验的第三方机构进行编制。</w:t>
      </w:r>
    </w:p>
    <w:p w14:paraId="12341C9A">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第十三条</w:t>
      </w:r>
      <w:r>
        <w:rPr>
          <w:rFonts w:hint="eastAsia" w:ascii="宋体" w:hAnsi="宋体" w:eastAsia="方正仿宋_GBK" w:cs="Times New Roman"/>
          <w:kern w:val="0"/>
          <w:sz w:val="32"/>
          <w:szCs w:val="22"/>
        </w:rPr>
        <w:t xml:space="preserve"> 特许经营方案应当主动服务和融入国家发展大局，以项目实际情况及前期论证资料为基础，在特许经营内容中充分融合连接口岸的交通基础设施、通关设施和多式联运机制。</w:t>
      </w:r>
    </w:p>
    <w:p w14:paraId="05A0F9D5">
      <w:pPr>
        <w:spacing w:line="560" w:lineRule="exact"/>
        <w:ind w:firstLine="640" w:firstLineChars="200"/>
        <w:rPr>
          <w:rFonts w:hint="eastAsia" w:ascii="宋体" w:hAnsi="宋体" w:eastAsia="方正仿宋_GBK" w:cs="Times New Roman"/>
          <w:kern w:val="0"/>
          <w:sz w:val="32"/>
          <w:szCs w:val="22"/>
          <w:lang w:eastAsia="zh-CN"/>
        </w:rPr>
      </w:pPr>
      <w:r>
        <w:rPr>
          <w:rFonts w:hint="eastAsia" w:ascii="宋体" w:hAnsi="宋体" w:eastAsia="方正仿宋_GBK" w:cs="Times New Roman"/>
          <w:kern w:val="0"/>
          <w:sz w:val="32"/>
          <w:szCs w:val="22"/>
        </w:rPr>
        <w:t>特许经营方案应当充分衔接沿线资源禀赋和经济社会发展需求，按照云南省融合发展相关要求，在特许经营方案中深入论证融合发展预期目标、实施方式、经济社会效益等，有效保障“高速＋”融合项目因地制宜实施，提升高速公路建设项目总体盈利能力</w:t>
      </w:r>
      <w:r>
        <w:rPr>
          <w:rFonts w:hint="eastAsia" w:ascii="宋体" w:hAnsi="宋体" w:eastAsia="方正仿宋_GBK" w:cs="Times New Roman"/>
          <w:kern w:val="0"/>
          <w:sz w:val="32"/>
          <w:szCs w:val="22"/>
          <w:lang w:eastAsia="zh-CN"/>
        </w:rPr>
        <w:t>。</w:t>
      </w:r>
    </w:p>
    <w:p w14:paraId="03B3D65B">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沿线政府应充分挖掘土地资源潜力，为“高速＋”项目落地提供支撑，并做好高速公路土地综合利用</w:t>
      </w:r>
      <w:r>
        <w:rPr>
          <w:rFonts w:hint="eastAsia" w:ascii="宋体" w:hAnsi="宋体" w:eastAsia="方正仿宋_GBK" w:cs="Times New Roman"/>
          <w:kern w:val="0"/>
          <w:sz w:val="32"/>
          <w:szCs w:val="22"/>
          <w:lang w:val="en-US" w:eastAsia="zh-CN"/>
        </w:rPr>
        <w:t>方案及</w:t>
      </w:r>
      <w:r>
        <w:rPr>
          <w:rFonts w:hint="eastAsia" w:ascii="宋体" w:hAnsi="宋体" w:eastAsia="方正仿宋_GBK" w:cs="Times New Roman"/>
          <w:kern w:val="0"/>
          <w:sz w:val="32"/>
          <w:szCs w:val="22"/>
        </w:rPr>
        <w:t>与国土空间规划衔接，加强用地、用林、环评、水保等要素保障。</w:t>
      </w:r>
    </w:p>
    <w:p w14:paraId="494EFCA8">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第十四条</w:t>
      </w:r>
      <w:r>
        <w:rPr>
          <w:rFonts w:hint="eastAsia" w:ascii="宋体" w:hAnsi="宋体" w:eastAsia="方正仿宋_GBK" w:cs="Times New Roman"/>
          <w:kern w:val="0"/>
          <w:sz w:val="32"/>
          <w:szCs w:val="22"/>
        </w:rPr>
        <w:t xml:space="preserve"> 省级实施的高速公路特许经营项目，由项目实施机构负责将特许经营方案报省发展改革委审核；州（市）实施的高速公路特许经营项目，由项目实施机构取得州（市）发展改革委初审意见后，报省发展改革委审核。</w:t>
      </w:r>
    </w:p>
    <w:p w14:paraId="70C43FEB">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第十五条</w:t>
      </w:r>
      <w:r>
        <w:rPr>
          <w:rFonts w:hint="eastAsia" w:ascii="宋体" w:hAnsi="宋体" w:eastAsia="方正仿宋_GBK" w:cs="Times New Roman"/>
          <w:kern w:val="0"/>
          <w:sz w:val="32"/>
          <w:szCs w:val="22"/>
        </w:rPr>
        <w:t xml:space="preserve"> </w:t>
      </w:r>
      <w:r>
        <w:rPr>
          <w:rFonts w:hint="eastAsia" w:ascii="宋体" w:hAnsi="宋体" w:eastAsia="方正仿宋_GBK" w:cs="Times New Roman"/>
          <w:kern w:val="0"/>
          <w:sz w:val="32"/>
          <w:szCs w:val="22"/>
          <w:lang w:val="en-US" w:eastAsia="zh-CN"/>
        </w:rPr>
        <w:t>省发展改革委</w:t>
      </w:r>
      <w:r>
        <w:rPr>
          <w:rFonts w:hint="eastAsia" w:ascii="宋体" w:hAnsi="宋体" w:eastAsia="方正仿宋_GBK" w:cs="Times New Roman"/>
          <w:kern w:val="0"/>
          <w:sz w:val="32"/>
          <w:szCs w:val="22"/>
        </w:rPr>
        <w:t>审</w:t>
      </w:r>
      <w:r>
        <w:rPr>
          <w:rFonts w:hint="default" w:ascii="宋体" w:hAnsi="宋体" w:eastAsia="方正仿宋_GBK" w:cs="Times New Roman"/>
          <w:kern w:val="0"/>
          <w:sz w:val="32"/>
          <w:szCs w:val="22"/>
          <w:lang w:val="en-US"/>
        </w:rPr>
        <w:t>核</w:t>
      </w:r>
      <w:r>
        <w:rPr>
          <w:rFonts w:hint="eastAsia" w:ascii="宋体" w:hAnsi="宋体" w:eastAsia="方正仿宋_GBK" w:cs="Times New Roman"/>
          <w:kern w:val="0"/>
          <w:sz w:val="32"/>
          <w:szCs w:val="22"/>
        </w:rPr>
        <w:t>特许经营方案时，应当对项目是否适合采取特许经营模式进行论证，必要时可以委托专业咨询机构进行评估。</w:t>
      </w:r>
      <w:bookmarkStart w:id="0" w:name="No79_Z3T17K2"/>
      <w:bookmarkEnd w:id="0"/>
    </w:p>
    <w:p w14:paraId="3F909D9D">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省发展改革委</w:t>
      </w:r>
      <w:r>
        <w:rPr>
          <w:rFonts w:hint="eastAsia" w:ascii="宋体" w:hAnsi="宋体" w:eastAsia="方正仿宋_GBK" w:cs="Times New Roman"/>
          <w:kern w:val="0"/>
          <w:sz w:val="32"/>
          <w:szCs w:val="22"/>
          <w:lang w:val="en-US" w:eastAsia="zh-CN"/>
        </w:rPr>
        <w:t>结合</w:t>
      </w:r>
      <w:r>
        <w:rPr>
          <w:rFonts w:hint="eastAsia" w:ascii="宋体" w:hAnsi="宋体" w:eastAsia="方正仿宋_GBK" w:cs="Times New Roman"/>
          <w:kern w:val="0"/>
          <w:sz w:val="32"/>
          <w:szCs w:val="22"/>
        </w:rPr>
        <w:t>特许经营方案评估结果、国家和地方财政资金安排或支持意见等文件，对特许经营方案提出审核意见。</w:t>
      </w:r>
    </w:p>
    <w:p w14:paraId="18C37BC7">
      <w:pPr>
        <w:widowControl/>
        <w:snapToGrid w:val="0"/>
        <w:spacing w:line="600" w:lineRule="exact"/>
        <w:jc w:val="center"/>
        <w:rPr>
          <w:rFonts w:hint="eastAsia" w:ascii="黑体" w:hAnsi="黑体" w:eastAsia="黑体" w:cs="Times New Roman"/>
          <w:b/>
          <w:kern w:val="0"/>
          <w:sz w:val="32"/>
          <w:szCs w:val="21"/>
          <w:lang w:eastAsia="zh-CN"/>
        </w:rPr>
      </w:pPr>
      <w:r>
        <w:rPr>
          <w:rFonts w:hint="eastAsia" w:ascii="黑体" w:hAnsi="黑体" w:eastAsia="黑体" w:cs="Times New Roman"/>
          <w:b/>
          <w:kern w:val="0"/>
          <w:sz w:val="32"/>
          <w:szCs w:val="21"/>
        </w:rPr>
        <w:t>第四章 特许经营者招选</w:t>
      </w:r>
      <w:r>
        <w:rPr>
          <w:rFonts w:hint="eastAsia" w:ascii="黑体" w:hAnsi="黑体" w:eastAsia="黑体" w:cs="Times New Roman"/>
          <w:b/>
          <w:kern w:val="0"/>
          <w:sz w:val="32"/>
          <w:szCs w:val="21"/>
          <w:lang w:eastAsia="zh-CN"/>
        </w:rPr>
        <w:t>及协议签订</w:t>
      </w:r>
    </w:p>
    <w:p w14:paraId="7E1EEDDE">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第十六条</w:t>
      </w:r>
      <w:r>
        <w:rPr>
          <w:rFonts w:hint="eastAsia" w:ascii="宋体" w:hAnsi="宋体" w:eastAsia="方正仿宋_GBK" w:cs="Times New Roman"/>
          <w:kern w:val="0"/>
          <w:sz w:val="32"/>
          <w:szCs w:val="22"/>
        </w:rPr>
        <w:t xml:space="preserve"> 开展特许经营者招标的项目应具备以下条件：</w:t>
      </w:r>
    </w:p>
    <w:p w14:paraId="4E7AAA7E">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（一）符合国家和云南省高速公路网规划</w:t>
      </w:r>
      <w:r>
        <w:rPr>
          <w:rFonts w:hint="eastAsia" w:ascii="宋体" w:hAnsi="宋体" w:eastAsia="方正仿宋_GBK" w:cs="Times New Roman"/>
          <w:kern w:val="0"/>
          <w:sz w:val="32"/>
          <w:szCs w:val="22"/>
          <w:lang w:eastAsia="zh-CN"/>
        </w:rPr>
        <w:t>或</w:t>
      </w:r>
      <w:r>
        <w:rPr>
          <w:rFonts w:hint="eastAsia" w:ascii="宋体" w:hAnsi="宋体" w:eastAsia="方正仿宋_GBK" w:cs="Times New Roman"/>
          <w:kern w:val="0"/>
          <w:sz w:val="32"/>
          <w:szCs w:val="22"/>
        </w:rPr>
        <w:t>综合交通运输规划；</w:t>
      </w:r>
    </w:p>
    <w:p w14:paraId="0601BA2E">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（二）</w:t>
      </w:r>
      <w:r>
        <w:rPr>
          <w:rFonts w:hint="eastAsia" w:ascii="宋体" w:hAnsi="宋体" w:eastAsia="方正仿宋_GBK" w:cs="Times New Roman"/>
          <w:kern w:val="0"/>
          <w:sz w:val="32"/>
          <w:szCs w:val="22"/>
          <w:lang w:val="en-US" w:eastAsia="zh-CN"/>
        </w:rPr>
        <w:t>满足</w:t>
      </w:r>
      <w:r>
        <w:rPr>
          <w:rFonts w:hint="eastAsia" w:ascii="宋体" w:hAnsi="宋体" w:eastAsia="方正仿宋_GBK" w:cs="Times New Roman"/>
          <w:kern w:val="0"/>
          <w:sz w:val="32"/>
          <w:szCs w:val="22"/>
        </w:rPr>
        <w:t xml:space="preserve">《收费公路管理条例》规定的技术等级和规模； </w:t>
      </w:r>
    </w:p>
    <w:p w14:paraId="4A7FAFC5">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（三）特许经营方案经省</w:t>
      </w:r>
      <w:r>
        <w:rPr>
          <w:rFonts w:hint="eastAsia" w:ascii="宋体" w:hAnsi="宋体" w:eastAsia="方正仿宋_GBK" w:cs="Times New Roman"/>
          <w:kern w:val="0"/>
          <w:sz w:val="32"/>
          <w:szCs w:val="22"/>
          <w:lang w:val="en-US" w:eastAsia="zh-CN"/>
        </w:rPr>
        <w:t>发展改革委</w:t>
      </w:r>
      <w:r>
        <w:rPr>
          <w:rFonts w:hint="eastAsia" w:ascii="宋体" w:hAnsi="宋体" w:eastAsia="方正仿宋_GBK" w:cs="Times New Roman"/>
          <w:kern w:val="0"/>
          <w:sz w:val="32"/>
          <w:szCs w:val="22"/>
        </w:rPr>
        <w:t>审核通过。</w:t>
      </w:r>
    </w:p>
    <w:p w14:paraId="0091AD01">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第十七条</w:t>
      </w:r>
      <w:r>
        <w:rPr>
          <w:rFonts w:hint="eastAsia" w:ascii="宋体" w:hAnsi="宋体" w:eastAsia="方正仿宋_GBK" w:cs="Times New Roman"/>
          <w:kern w:val="0"/>
          <w:sz w:val="32"/>
          <w:szCs w:val="22"/>
        </w:rPr>
        <w:t xml:space="preserve"> 项目实施机构根据经审定的特许经营方案，通过公开招标方式择优选择特许经营者。</w:t>
      </w:r>
    </w:p>
    <w:p w14:paraId="315D8D37">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除作为政府出资人代表参与本级政府通过资本金注入方式给予投资支持项目外，本级国有独资或国有控股企业（含其独资或控股的子公司）不得以任何方式作为本级高速公路特许经营项目的投标方、联合投标方或项目公司股东；作为政府出资人代表时，原则上不得在项目公司中控股，不得</w:t>
      </w:r>
      <w:r>
        <w:rPr>
          <w:rFonts w:hint="eastAsia" w:ascii="宋体" w:hAnsi="宋体" w:eastAsia="方正仿宋_GBK" w:cs="Times New Roman"/>
          <w:kern w:val="0"/>
          <w:sz w:val="32"/>
          <w:szCs w:val="22"/>
          <w:lang w:val="en-US" w:eastAsia="zh-CN"/>
        </w:rPr>
        <w:t>用</w:t>
      </w:r>
      <w:r>
        <w:rPr>
          <w:rFonts w:hint="eastAsia" w:ascii="宋体" w:hAnsi="宋体" w:eastAsia="方正仿宋_GBK" w:cs="Times New Roman"/>
          <w:kern w:val="0"/>
          <w:sz w:val="32"/>
          <w:szCs w:val="22"/>
        </w:rPr>
        <w:t>其自有资金代替政府资本金出资。</w:t>
      </w:r>
    </w:p>
    <w:p w14:paraId="342D832B">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第十八条</w:t>
      </w:r>
      <w:r>
        <w:rPr>
          <w:rFonts w:hint="eastAsia" w:ascii="宋体" w:hAnsi="宋体" w:eastAsia="方正仿宋_GBK" w:cs="Times New Roman"/>
          <w:kern w:val="0"/>
          <w:sz w:val="32"/>
          <w:szCs w:val="22"/>
        </w:rPr>
        <w:t xml:space="preserve"> 项目实施机构应当根据高速公路特许经营项目的特点和需要，对潜在特许经营者的项目管理经验、专业运营能力、企业综合实力、信用状况等</w:t>
      </w:r>
      <w:r>
        <w:rPr>
          <w:rFonts w:hint="eastAsia" w:ascii="宋体" w:hAnsi="宋体" w:eastAsia="方正仿宋_GBK" w:cs="Times New Roman"/>
          <w:kern w:val="0"/>
          <w:sz w:val="32"/>
          <w:szCs w:val="22"/>
          <w:lang w:val="en-US" w:eastAsia="zh-CN"/>
        </w:rPr>
        <w:t>提出</w:t>
      </w:r>
      <w:r>
        <w:rPr>
          <w:rFonts w:hint="eastAsia" w:ascii="宋体" w:hAnsi="宋体" w:eastAsia="方正仿宋_GBK" w:cs="Times New Roman"/>
          <w:kern w:val="0"/>
          <w:sz w:val="32"/>
          <w:szCs w:val="22"/>
        </w:rPr>
        <w:t>要求，并将项目运营方案、收费单价、特许经营期限等作为</w:t>
      </w:r>
      <w:r>
        <w:rPr>
          <w:rFonts w:hint="eastAsia" w:ascii="宋体" w:hAnsi="宋体" w:eastAsia="方正仿宋_GBK" w:cs="Times New Roman"/>
          <w:kern w:val="0"/>
          <w:sz w:val="32"/>
          <w:szCs w:val="22"/>
          <w:lang w:val="en-US" w:eastAsia="zh-CN"/>
        </w:rPr>
        <w:t>核心评定标准，</w:t>
      </w:r>
      <w:r>
        <w:rPr>
          <w:rFonts w:hint="eastAsia" w:ascii="宋体" w:hAnsi="宋体" w:eastAsia="方正仿宋_GBK" w:cs="Times New Roman"/>
          <w:kern w:val="0"/>
          <w:sz w:val="32"/>
          <w:szCs w:val="22"/>
        </w:rPr>
        <w:t>不得限制或者排斥民营企业参与。</w:t>
      </w:r>
    </w:p>
    <w:p w14:paraId="35947FD8">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项目实施机构应当接受具备投融资能力的潜在特许经营者参与投标，不得将具备勘察设计或施工资格能力作为参与投标的强制性条件。对于具备勘察设计或施工资格能力的特许经营者，或者自身不具备设计或施工资格能力但联合具有相应资格能力的设计或施工单位共同组成联合体投标的特许经营者，按照《中华人民共和国招标投标法实施条例》第九条规定，中标后可不再对勘察设计</w:t>
      </w:r>
      <w:r>
        <w:rPr>
          <w:rFonts w:hint="eastAsia" w:ascii="宋体" w:hAnsi="宋体" w:eastAsia="方正仿宋_GBK" w:cs="Times New Roman"/>
          <w:kern w:val="0"/>
          <w:sz w:val="32"/>
          <w:szCs w:val="22"/>
          <w:lang w:val="en-US" w:eastAsia="zh-CN"/>
        </w:rPr>
        <w:t>和</w:t>
      </w:r>
      <w:r>
        <w:rPr>
          <w:rFonts w:hint="eastAsia" w:ascii="宋体" w:hAnsi="宋体" w:eastAsia="方正仿宋_GBK" w:cs="Times New Roman"/>
          <w:kern w:val="0"/>
          <w:sz w:val="32"/>
          <w:szCs w:val="22"/>
        </w:rPr>
        <w:t>施工任务进行招标。对于不具备勘察设计或施工资格能力的特许经营者，中标后由其组建的项目公司依法对勘察设计</w:t>
      </w:r>
      <w:r>
        <w:rPr>
          <w:rFonts w:hint="eastAsia" w:ascii="宋体" w:hAnsi="宋体" w:eastAsia="方正仿宋_GBK" w:cs="Times New Roman"/>
          <w:kern w:val="0"/>
          <w:sz w:val="32"/>
          <w:szCs w:val="22"/>
          <w:lang w:val="en-US" w:eastAsia="zh-CN"/>
        </w:rPr>
        <w:t>和</w:t>
      </w:r>
      <w:r>
        <w:rPr>
          <w:rFonts w:hint="eastAsia" w:ascii="宋体" w:hAnsi="宋体" w:eastAsia="方正仿宋_GBK" w:cs="Times New Roman"/>
          <w:kern w:val="0"/>
          <w:sz w:val="32"/>
          <w:szCs w:val="22"/>
        </w:rPr>
        <w:t>施工任务进行招标。</w:t>
      </w:r>
    </w:p>
    <w:p w14:paraId="0339BCE6">
      <w:pPr>
        <w:ind w:firstLine="643" w:firstLineChars="200"/>
        <w:rPr>
          <w:rFonts w:hint="eastAsia" w:ascii="宋体" w:hAnsi="宋体" w:eastAsia="方正仿宋_GBK" w:cs="方正仿宋_GBK"/>
          <w:sz w:val="32"/>
          <w:szCs w:val="32"/>
        </w:rPr>
      </w:pPr>
      <w:r>
        <w:rPr>
          <w:rFonts w:hint="eastAsia" w:ascii="宋体" w:hAnsi="宋体" w:eastAsia="方正仿宋_GBK" w:cs="Times New Roman"/>
          <w:b/>
          <w:bCs/>
          <w:kern w:val="0"/>
          <w:sz w:val="32"/>
          <w:szCs w:val="22"/>
        </w:rPr>
        <w:t>第十九条</w:t>
      </w:r>
      <w:r>
        <w:rPr>
          <w:rFonts w:hint="eastAsia" w:ascii="宋体" w:hAnsi="宋体" w:eastAsia="方正仿宋_GBK" w:cs="Times New Roman"/>
          <w:kern w:val="0"/>
          <w:sz w:val="32"/>
          <w:szCs w:val="22"/>
        </w:rPr>
        <w:t xml:space="preserve"> 特许经营者</w:t>
      </w:r>
      <w:r>
        <w:rPr>
          <w:rFonts w:hint="eastAsia" w:ascii="宋体" w:hAnsi="宋体" w:eastAsia="方正仿宋_GBK" w:cs="方正仿宋_GBK"/>
          <w:sz w:val="32"/>
          <w:szCs w:val="32"/>
        </w:rPr>
        <w:t>招标前</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lang w:val="en-US" w:eastAsia="zh-CN"/>
        </w:rPr>
        <w:t>在不泄露影响公平竞争信息的前提下，</w:t>
      </w:r>
      <w:r>
        <w:rPr>
          <w:rFonts w:hint="eastAsia" w:ascii="宋体" w:hAnsi="宋体" w:eastAsia="方正仿宋_GBK" w:cs="方正仿宋_GBK"/>
          <w:sz w:val="32"/>
          <w:szCs w:val="32"/>
        </w:rPr>
        <w:t>可</w:t>
      </w:r>
      <w:r>
        <w:rPr>
          <w:rFonts w:hint="eastAsia" w:ascii="宋体" w:hAnsi="宋体" w:eastAsia="方正仿宋_GBK" w:cs="方正仿宋_GBK"/>
          <w:sz w:val="32"/>
          <w:szCs w:val="32"/>
          <w:lang w:val="en-US" w:eastAsia="zh-CN"/>
        </w:rPr>
        <w:t>依法依规</w:t>
      </w:r>
      <w:r>
        <w:rPr>
          <w:rFonts w:hint="eastAsia" w:ascii="宋体" w:hAnsi="宋体" w:eastAsia="方正仿宋_GBK" w:cs="方正仿宋_GBK"/>
          <w:sz w:val="32"/>
          <w:szCs w:val="32"/>
        </w:rPr>
        <w:t>通过</w:t>
      </w:r>
      <w:r>
        <w:rPr>
          <w:rFonts w:hint="eastAsia" w:ascii="宋体" w:hAnsi="宋体" w:eastAsia="方正仿宋_GBK" w:cs="方正仿宋_GBK"/>
          <w:sz w:val="32"/>
          <w:szCs w:val="32"/>
          <w:lang w:eastAsia="zh-CN"/>
        </w:rPr>
        <w:t>公开方式</w:t>
      </w:r>
      <w:r>
        <w:rPr>
          <w:rFonts w:hint="eastAsia" w:ascii="宋体" w:hAnsi="宋体" w:eastAsia="方正仿宋_GBK" w:cs="方正仿宋_GBK"/>
          <w:sz w:val="32"/>
          <w:szCs w:val="32"/>
        </w:rPr>
        <w:t>向潜在特许经营者推介项目。</w:t>
      </w:r>
    </w:p>
    <w:p w14:paraId="4782F8BB">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第二十条</w:t>
      </w:r>
      <w:r>
        <w:rPr>
          <w:rFonts w:hint="eastAsia" w:ascii="宋体" w:hAnsi="宋体" w:eastAsia="方正仿宋_GBK" w:cs="Times New Roman"/>
          <w:kern w:val="0"/>
          <w:sz w:val="32"/>
          <w:szCs w:val="22"/>
        </w:rPr>
        <w:t xml:space="preserve"> 项目实施机构应参照交通运输主管部门制定的《经营性公路建设项目投资人招标文件示范文本》</w:t>
      </w:r>
      <w:r>
        <w:rPr>
          <w:rFonts w:hint="eastAsia" w:ascii="宋体" w:hAnsi="宋体" w:eastAsia="方正仿宋_GBK" w:cs="Times New Roman"/>
          <w:kern w:val="0"/>
          <w:sz w:val="32"/>
          <w:szCs w:val="22"/>
          <w:lang w:eastAsia="zh-CN"/>
        </w:rPr>
        <w:t>、国家发展改革委制定</w:t>
      </w:r>
      <w:r>
        <w:rPr>
          <w:rFonts w:hint="eastAsia" w:ascii="宋体" w:hAnsi="宋体" w:eastAsia="方正仿宋_GBK" w:cs="Times New Roman"/>
          <w:kern w:val="0"/>
          <w:sz w:val="32"/>
          <w:szCs w:val="22"/>
          <w:lang w:val="en-US" w:eastAsia="zh-CN"/>
        </w:rPr>
        <w:t>的</w:t>
      </w:r>
      <w:r>
        <w:rPr>
          <w:rFonts w:hint="eastAsia" w:ascii="宋体" w:hAnsi="宋体" w:eastAsia="方正仿宋_GBK" w:cs="Times New Roman"/>
          <w:kern w:val="0"/>
          <w:sz w:val="32"/>
          <w:szCs w:val="22"/>
        </w:rPr>
        <w:t>《政府和社会资本合作项目特许经营（编制）协议范本（2024年试行版）》，结合项目特点和实际需要，科学、合理编制特许经营者招标文件。特许经营者招标文件中应明确政府投资支持相关内容。</w:t>
      </w:r>
    </w:p>
    <w:p w14:paraId="1E06C652">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第二十一条</w:t>
      </w:r>
      <w:r>
        <w:rPr>
          <w:rFonts w:hint="eastAsia" w:ascii="宋体" w:hAnsi="宋体" w:eastAsia="方正仿宋_GBK" w:cs="Times New Roman"/>
          <w:kern w:val="0"/>
          <w:sz w:val="32"/>
          <w:szCs w:val="22"/>
        </w:rPr>
        <w:t xml:space="preserve"> 项目实施机构应通过云南省公共资源交易中心等媒介发布招标公告。实行资格预审的，应通过上述媒介发布资格预审公告，完成资格预审后履行招标程序。项目实施机构应合理确定投标文件的编制时间，</w:t>
      </w:r>
      <w:r>
        <w:rPr>
          <w:rFonts w:hint="eastAsia" w:ascii="宋体" w:hAnsi="宋体" w:eastAsia="方正仿宋_GBK" w:cs="Times New Roman"/>
          <w:kern w:val="0"/>
          <w:sz w:val="32"/>
          <w:szCs w:val="22"/>
          <w:lang w:val="en-US" w:eastAsia="zh-CN"/>
        </w:rPr>
        <w:t>应</w:t>
      </w:r>
      <w:r>
        <w:rPr>
          <w:rFonts w:hint="eastAsia" w:ascii="宋体" w:hAnsi="宋体" w:eastAsia="方正仿宋_GBK" w:cs="Times New Roman"/>
          <w:kern w:val="0"/>
          <w:sz w:val="32"/>
          <w:szCs w:val="22"/>
        </w:rPr>
        <w:t>符合《中华人民共和国招标投标法》的规定。</w:t>
      </w:r>
    </w:p>
    <w:p w14:paraId="29F466E0">
      <w:pPr>
        <w:spacing w:line="560" w:lineRule="exact"/>
        <w:ind w:firstLine="640" w:firstLineChars="200"/>
        <w:rPr>
          <w:rFonts w:hint="eastAsia" w:ascii="宋体" w:hAnsi="宋体" w:eastAsia="方正仿宋_GBK" w:cs="Times New Roman"/>
          <w:kern w:val="0"/>
          <w:sz w:val="32"/>
          <w:szCs w:val="22"/>
        </w:rPr>
      </w:pPr>
      <w:r>
        <w:rPr>
          <w:rFonts w:hint="eastAsia" w:ascii="宋体" w:hAnsi="宋体" w:eastAsia="方正仿宋_GBK" w:cs="Times New Roman"/>
          <w:kern w:val="0"/>
          <w:sz w:val="32"/>
          <w:szCs w:val="22"/>
        </w:rPr>
        <w:t>项目实施机构应按照有关规定进行招标文件备案、招标</w:t>
      </w:r>
    </w:p>
    <w:p w14:paraId="50008C1C">
      <w:pPr>
        <w:spacing w:line="560" w:lineRule="exact"/>
        <w:ind w:firstLine="0" w:firstLineChars="0"/>
        <w:rPr>
          <w:rFonts w:ascii="宋体" w:hAnsi="宋体" w:eastAsia="方正仿宋_GBK" w:cs="Times New Roman"/>
          <w:kern w:val="0"/>
          <w:sz w:val="32"/>
          <w:szCs w:val="22"/>
        </w:rPr>
      </w:pPr>
      <w:r>
        <w:rPr>
          <w:rFonts w:hint="eastAsia" w:ascii="宋体" w:hAnsi="宋体" w:eastAsia="方正仿宋_GBK" w:cs="Times New Roman"/>
          <w:kern w:val="0"/>
          <w:sz w:val="32"/>
          <w:szCs w:val="22"/>
        </w:rPr>
        <w:t>投标情况书面报告备案</w:t>
      </w:r>
      <w:r>
        <w:rPr>
          <w:rFonts w:hint="eastAsia" w:ascii="宋体" w:hAnsi="宋体" w:eastAsia="方正仿宋_GBK" w:cs="Times New Roman"/>
          <w:kern w:val="0"/>
          <w:sz w:val="32"/>
          <w:szCs w:val="22"/>
          <w:lang w:eastAsia="zh-CN"/>
        </w:rPr>
        <w:t>。</w:t>
      </w:r>
    </w:p>
    <w:p w14:paraId="5D33E377">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第二十二条</w:t>
      </w:r>
      <w:r>
        <w:rPr>
          <w:rFonts w:hint="eastAsia" w:ascii="宋体" w:hAnsi="宋体" w:eastAsia="方正仿宋_GBK" w:cs="Times New Roman"/>
          <w:kern w:val="0"/>
          <w:sz w:val="32"/>
          <w:szCs w:val="22"/>
        </w:rPr>
        <w:t xml:space="preserve"> 特许经营投标人应当具备以下基本条件：</w:t>
      </w:r>
    </w:p>
    <w:p w14:paraId="27DD7182">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（一）总资产、净资产应符合招标文件要求；</w:t>
      </w:r>
    </w:p>
    <w:p w14:paraId="56777CCB">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（二）最近连续三年每年均为盈利</w:t>
      </w:r>
      <w:r>
        <w:rPr>
          <w:rFonts w:hint="eastAsia" w:ascii="宋体" w:hAnsi="宋体" w:eastAsia="方正仿宋_GBK" w:cs="Times New Roman"/>
          <w:kern w:val="0"/>
          <w:sz w:val="32"/>
          <w:szCs w:val="22"/>
          <w:lang w:eastAsia="zh-CN"/>
        </w:rPr>
        <w:t>（成立不足三年的自成立以来均为盈利）</w:t>
      </w:r>
      <w:r>
        <w:rPr>
          <w:rFonts w:hint="eastAsia" w:ascii="宋体" w:hAnsi="宋体" w:eastAsia="方正仿宋_GBK" w:cs="Times New Roman"/>
          <w:kern w:val="0"/>
          <w:sz w:val="32"/>
          <w:szCs w:val="22"/>
        </w:rPr>
        <w:t>，且财务报告应当经具有法定资格的中介机构</w:t>
      </w:r>
      <w:r>
        <w:rPr>
          <w:rFonts w:hint="eastAsia" w:ascii="宋体" w:hAnsi="宋体" w:eastAsia="方正仿宋_GBK" w:cs="Times New Roman"/>
          <w:kern w:val="0"/>
          <w:sz w:val="32"/>
          <w:szCs w:val="22"/>
          <w:lang w:val="en-US" w:eastAsia="zh-CN"/>
        </w:rPr>
        <w:t>进行</w:t>
      </w:r>
      <w:r>
        <w:rPr>
          <w:rFonts w:hint="eastAsia" w:ascii="宋体" w:hAnsi="宋体" w:eastAsia="方正仿宋_GBK" w:cs="Times New Roman"/>
          <w:kern w:val="0"/>
          <w:sz w:val="32"/>
          <w:szCs w:val="22"/>
        </w:rPr>
        <w:t>审计；</w:t>
      </w:r>
    </w:p>
    <w:p w14:paraId="1D3F35B7">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（三）投融资能力不低于项目估算</w:t>
      </w:r>
      <w:r>
        <w:rPr>
          <w:rFonts w:hint="eastAsia" w:ascii="宋体" w:hAnsi="宋体" w:eastAsia="方正仿宋_GBK" w:cs="Times New Roman"/>
          <w:kern w:val="0"/>
          <w:sz w:val="32"/>
          <w:szCs w:val="22"/>
          <w:lang w:val="en-US" w:eastAsia="zh-CN"/>
        </w:rPr>
        <w:t>投资</w:t>
      </w:r>
      <w:r>
        <w:rPr>
          <w:rFonts w:hint="eastAsia" w:ascii="宋体" w:hAnsi="宋体" w:eastAsia="方正仿宋_GBK" w:cs="Times New Roman"/>
          <w:kern w:val="0"/>
          <w:sz w:val="32"/>
          <w:szCs w:val="22"/>
        </w:rPr>
        <w:t>，其中净资产不低于项目估算投资的35%；</w:t>
      </w:r>
    </w:p>
    <w:p w14:paraId="573ECDBC">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（四）商业信誉良好，无重大违法行为。</w:t>
      </w:r>
    </w:p>
    <w:p w14:paraId="3EEFAEA5">
      <w:pPr>
        <w:spacing w:line="560" w:lineRule="exact"/>
        <w:ind w:firstLine="643" w:firstLineChars="200"/>
        <w:rPr>
          <w:rFonts w:hint="eastAsia" w:ascii="宋体" w:hAnsi="宋体" w:eastAsia="方正仿宋_GBK" w:cs="Times New Roman"/>
          <w:color w:val="auto"/>
          <w:kern w:val="0"/>
          <w:sz w:val="32"/>
          <w:szCs w:val="22"/>
          <w:highlight w:val="none"/>
        </w:rPr>
      </w:pPr>
      <w:r>
        <w:rPr>
          <w:rFonts w:hint="eastAsia" w:ascii="宋体" w:hAnsi="宋体" w:eastAsia="方正仿宋_GBK" w:cs="Times New Roman"/>
          <w:b/>
          <w:bCs/>
          <w:color w:val="auto"/>
          <w:kern w:val="0"/>
          <w:sz w:val="32"/>
          <w:szCs w:val="22"/>
          <w:highlight w:val="none"/>
          <w:lang w:eastAsia="zh-CN"/>
        </w:rPr>
        <w:t>第二十三条</w:t>
      </w:r>
      <w:r>
        <w:rPr>
          <w:rFonts w:hint="eastAsia" w:ascii="宋体" w:hAnsi="宋体" w:eastAsia="方正仿宋_GBK" w:cs="Times New Roman"/>
          <w:color w:val="auto"/>
          <w:kern w:val="0"/>
          <w:sz w:val="32"/>
          <w:szCs w:val="22"/>
          <w:highlight w:val="none"/>
          <w:lang w:eastAsia="zh-CN"/>
        </w:rPr>
        <w:t xml:space="preserve"> 两个</w:t>
      </w:r>
      <w:r>
        <w:rPr>
          <w:rFonts w:hint="eastAsia" w:ascii="宋体" w:hAnsi="宋体" w:eastAsia="方正仿宋_GBK" w:cs="Times New Roman"/>
          <w:color w:val="auto"/>
          <w:kern w:val="0"/>
          <w:sz w:val="32"/>
          <w:szCs w:val="22"/>
          <w:highlight w:val="none"/>
          <w:lang w:val="en-US" w:eastAsia="zh-CN"/>
        </w:rPr>
        <w:t>及以上经济组织可以组成联合体，以一个投标人的身份共同投标。联合体应当符合项目实施机构对特许经营投标人的资格审查标准，联合体成员的合计总资产、净资产，以及各联合体成员的财务状况、商业信誉等，应当满足特许经营投标人所需具备的基本条件，且各联合体成员的净资产不得低于自身拟出资额。</w:t>
      </w:r>
    </w:p>
    <w:p w14:paraId="644DEEAF">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color w:val="auto"/>
          <w:kern w:val="0"/>
          <w:sz w:val="32"/>
          <w:szCs w:val="22"/>
        </w:rPr>
        <w:t>以联合体形式参加投标的，应提交联合体各方签订的联合体协议。联合体协议应当明确约定</w:t>
      </w:r>
      <w:r>
        <w:rPr>
          <w:rFonts w:hint="eastAsia" w:ascii="宋体" w:hAnsi="宋体" w:eastAsia="方正仿宋_GBK" w:cs="Times New Roman"/>
          <w:kern w:val="0"/>
          <w:sz w:val="32"/>
          <w:szCs w:val="22"/>
        </w:rPr>
        <w:t>各方出资比例、</w:t>
      </w:r>
      <w:r>
        <w:rPr>
          <w:rFonts w:hint="eastAsia" w:ascii="宋体" w:hAnsi="宋体" w:eastAsia="方正仿宋_GBK" w:cs="Times New Roman"/>
          <w:kern w:val="0"/>
          <w:sz w:val="32"/>
          <w:szCs w:val="22"/>
          <w:lang w:val="en-US" w:eastAsia="zh-CN"/>
        </w:rPr>
        <w:t>分工</w:t>
      </w:r>
      <w:r>
        <w:rPr>
          <w:rFonts w:hint="eastAsia" w:ascii="宋体" w:hAnsi="宋体" w:eastAsia="方正仿宋_GBK" w:cs="Times New Roman"/>
          <w:kern w:val="0"/>
          <w:sz w:val="32"/>
          <w:szCs w:val="22"/>
        </w:rPr>
        <w:t>和责任。联合体中标的，联合体各方应当就特许经营协议的履行承担连带责任。</w:t>
      </w:r>
    </w:p>
    <w:p w14:paraId="73074FF5">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联合体牵头人应为项目公司控股股东。</w:t>
      </w:r>
    </w:p>
    <w:p w14:paraId="7B80D017">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项目实施机构可根据项目实际情况，</w:t>
      </w:r>
      <w:r>
        <w:rPr>
          <w:rFonts w:hint="eastAsia" w:ascii="宋体" w:hAnsi="宋体" w:eastAsia="方正仿宋_GBK" w:cs="Times New Roman"/>
          <w:kern w:val="0"/>
          <w:sz w:val="32"/>
          <w:szCs w:val="22"/>
          <w:lang w:val="en-US" w:eastAsia="zh-CN"/>
        </w:rPr>
        <w:t>依法依规</w:t>
      </w:r>
      <w:r>
        <w:rPr>
          <w:rFonts w:hint="eastAsia" w:ascii="宋体" w:hAnsi="宋体" w:eastAsia="方正仿宋_GBK" w:cs="Times New Roman"/>
          <w:kern w:val="0"/>
          <w:sz w:val="32"/>
          <w:szCs w:val="22"/>
        </w:rPr>
        <w:t>调整特许经营投标人的条件要求。</w:t>
      </w:r>
    </w:p>
    <w:p w14:paraId="478D7638">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第二十四条</w:t>
      </w:r>
      <w:r>
        <w:rPr>
          <w:rFonts w:hint="eastAsia" w:ascii="宋体" w:hAnsi="宋体" w:eastAsia="方正仿宋_GBK" w:cs="Times New Roman"/>
          <w:kern w:val="0"/>
          <w:sz w:val="32"/>
          <w:szCs w:val="22"/>
        </w:rPr>
        <w:t xml:space="preserve"> 鼓励民营企业通过直接投资或者独资、控股、参股等方式参与高速公路特许经营项目。</w:t>
      </w:r>
    </w:p>
    <w:p w14:paraId="655E4240">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项目实施机构应当根据国务院发展改革部门制定的《支持民营企业参与的新建及改扩建特许经营项目清单》（以下简称支持项目清单），结合项目实际情况，优先选择民营企业参与。</w:t>
      </w:r>
    </w:p>
    <w:p w14:paraId="5B585C62">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省交通运输厅会同有关部门可结合行业特点和当地发展实际情况制定高速公路特许经营项目“投资规模大、建设难度高”认定标准，报经省人民政府批准后向社会公开。</w:t>
      </w:r>
    </w:p>
    <w:p w14:paraId="5D5B07E1">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第二十五条</w:t>
      </w:r>
      <w:r>
        <w:rPr>
          <w:rFonts w:hint="eastAsia" w:ascii="宋体" w:hAnsi="宋体" w:eastAsia="方正仿宋_GBK" w:cs="Times New Roman"/>
          <w:kern w:val="0"/>
          <w:sz w:val="32"/>
          <w:szCs w:val="22"/>
        </w:rPr>
        <w:t xml:space="preserve"> 高速公路特许经营项目特许经营者招标的评标办法可采用综合评估法或者</w:t>
      </w:r>
      <w:r>
        <w:rPr>
          <w:rFonts w:hint="eastAsia" w:ascii="宋体" w:hAnsi="宋体" w:eastAsia="方正仿宋_GBK" w:cs="Times New Roman"/>
          <w:kern w:val="0"/>
          <w:sz w:val="32"/>
          <w:szCs w:val="22"/>
          <w:lang w:val="en-US" w:eastAsia="zh-CN"/>
        </w:rPr>
        <w:t>法定的</w:t>
      </w:r>
      <w:r>
        <w:rPr>
          <w:rFonts w:hint="eastAsia" w:ascii="宋体" w:hAnsi="宋体" w:eastAsia="方正仿宋_GBK" w:cs="Times New Roman"/>
          <w:kern w:val="0"/>
          <w:sz w:val="32"/>
          <w:szCs w:val="22"/>
        </w:rPr>
        <w:t>其他评标办法。</w:t>
      </w:r>
    </w:p>
    <w:p w14:paraId="20A09679">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根据高速公路特许经营项目的运作模式和特点，特许经营者招标的竞价因素可设置为拟申请的收费期限、建设期政府投资支持额度等因素。同等条件下，优先推荐独立投标的民营企业或有民营企业参与的联合体为中标候选人。</w:t>
      </w:r>
    </w:p>
    <w:p w14:paraId="3B360625">
      <w:pPr>
        <w:spacing w:line="560" w:lineRule="exact"/>
        <w:ind w:firstLine="643" w:firstLineChars="200"/>
        <w:rPr>
          <w:rFonts w:hint="eastAsia" w:ascii="宋体" w:hAnsi="宋体" w:eastAsia="方正仿宋_GBK" w:cs="Times New Roman"/>
          <w:kern w:val="0"/>
          <w:sz w:val="32"/>
          <w:szCs w:val="22"/>
        </w:rPr>
      </w:pPr>
      <w:r>
        <w:rPr>
          <w:rFonts w:hint="eastAsia" w:ascii="宋体" w:hAnsi="宋体" w:eastAsia="方正仿宋_GBK" w:cs="Times New Roman"/>
          <w:b/>
          <w:bCs/>
          <w:kern w:val="0"/>
          <w:sz w:val="32"/>
          <w:szCs w:val="22"/>
        </w:rPr>
        <w:t>第二十六条</w:t>
      </w:r>
      <w:r>
        <w:rPr>
          <w:rFonts w:hint="eastAsia" w:ascii="宋体" w:hAnsi="宋体" w:eastAsia="方正仿宋_GBK" w:cs="Times New Roman"/>
          <w:kern w:val="0"/>
          <w:sz w:val="32"/>
          <w:szCs w:val="22"/>
        </w:rPr>
        <w:t xml:space="preserve"> 招标文件规定的投标保证金、履约保证金不得超过法定限额。</w:t>
      </w:r>
    </w:p>
    <w:p w14:paraId="1C010530">
      <w:pPr>
        <w:spacing w:line="560" w:lineRule="exact"/>
        <w:ind w:firstLine="640" w:firstLineChars="200"/>
        <w:rPr>
          <w:rFonts w:hint="eastAsia" w:ascii="宋体" w:hAnsi="宋体" w:eastAsia="方正仿宋_GBK" w:cs="Times New Roman"/>
          <w:b/>
          <w:bCs/>
          <w:kern w:val="0"/>
          <w:sz w:val="32"/>
          <w:szCs w:val="22"/>
        </w:rPr>
      </w:pPr>
      <w:r>
        <w:rPr>
          <w:rFonts w:hint="eastAsia" w:ascii="宋体" w:hAnsi="宋体" w:eastAsia="方正仿宋_GBK" w:cs="Times New Roman"/>
          <w:kern w:val="0"/>
          <w:sz w:val="32"/>
          <w:szCs w:val="22"/>
        </w:rPr>
        <w:t>投标人应严格按照招标文件要求的额度、期限和形式，采用现金、银行保函、保证保险或支票等方式提交投标保证金、履约保证金。</w:t>
      </w:r>
    </w:p>
    <w:p w14:paraId="11BD8736">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第二十七条</w:t>
      </w:r>
      <w:r>
        <w:rPr>
          <w:rFonts w:hint="eastAsia" w:ascii="宋体" w:hAnsi="宋体" w:eastAsia="方正仿宋_GBK" w:cs="Times New Roman"/>
          <w:kern w:val="0"/>
          <w:sz w:val="32"/>
          <w:szCs w:val="22"/>
        </w:rPr>
        <w:t xml:space="preserve"> 评标委员会由项目实施机构代表和公路、财务、金融等方面的专家组成，成员人数为7人以上单数，其中项目实施机构代表</w:t>
      </w:r>
      <w:r>
        <w:rPr>
          <w:rFonts w:hint="eastAsia" w:ascii="宋体" w:hAnsi="宋体" w:eastAsia="方正仿宋_GBK" w:cs="Times New Roman"/>
          <w:kern w:val="0"/>
          <w:sz w:val="32"/>
          <w:szCs w:val="22"/>
          <w:lang w:val="en-US" w:eastAsia="zh-CN"/>
        </w:rPr>
        <w:t>占比不超过</w:t>
      </w:r>
      <w:r>
        <w:rPr>
          <w:rFonts w:hint="eastAsia" w:ascii="宋体" w:hAnsi="宋体" w:eastAsia="方正仿宋_GBK" w:cs="Times New Roman"/>
          <w:kern w:val="0"/>
          <w:sz w:val="32"/>
          <w:szCs w:val="22"/>
        </w:rPr>
        <w:t>1/3，与投标人有利害关系以及其他可能影响公正评标的人员不得进入评标委员会。</w:t>
      </w:r>
    </w:p>
    <w:p w14:paraId="7461E0D2">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第二十八条</w:t>
      </w:r>
      <w:r>
        <w:rPr>
          <w:rFonts w:hint="eastAsia" w:ascii="宋体" w:hAnsi="宋体" w:eastAsia="方正仿宋_GBK" w:cs="Times New Roman"/>
          <w:kern w:val="0"/>
          <w:sz w:val="32"/>
          <w:szCs w:val="22"/>
        </w:rPr>
        <w:t xml:space="preserve"> 项目实施机构应当在云南省公共资源交易中心等媒介公示中标候选人名单及排名，公示期不得少于3</w:t>
      </w:r>
      <w:r>
        <w:rPr>
          <w:rFonts w:hint="eastAsia" w:ascii="宋体" w:hAnsi="宋体" w:eastAsia="方正仿宋_GBK" w:cs="Times New Roman"/>
          <w:kern w:val="0"/>
          <w:sz w:val="32"/>
          <w:szCs w:val="22"/>
          <w:lang w:val="en-US" w:eastAsia="zh-CN"/>
        </w:rPr>
        <w:t>个工作</w:t>
      </w:r>
      <w:r>
        <w:rPr>
          <w:rFonts w:hint="eastAsia" w:ascii="宋体" w:hAnsi="宋体" w:eastAsia="方正仿宋_GBK" w:cs="Times New Roman"/>
          <w:kern w:val="0"/>
          <w:sz w:val="32"/>
          <w:szCs w:val="22"/>
        </w:rPr>
        <w:t>日。中标候选人应当不超过3个。</w:t>
      </w:r>
    </w:p>
    <w:p w14:paraId="7A9B7DC1">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公示</w:t>
      </w:r>
      <w:r>
        <w:rPr>
          <w:rFonts w:hint="eastAsia" w:ascii="宋体" w:hAnsi="宋体" w:eastAsia="方正仿宋_GBK" w:cs="Times New Roman"/>
          <w:kern w:val="0"/>
          <w:sz w:val="32"/>
          <w:szCs w:val="22"/>
          <w:lang w:eastAsia="zh-CN"/>
        </w:rPr>
        <w:t>期满</w:t>
      </w:r>
      <w:r>
        <w:rPr>
          <w:rFonts w:hint="eastAsia" w:ascii="宋体" w:hAnsi="宋体" w:eastAsia="方正仿宋_GBK" w:cs="Times New Roman"/>
          <w:kern w:val="0"/>
          <w:sz w:val="32"/>
          <w:szCs w:val="22"/>
        </w:rPr>
        <w:t>无异议</w:t>
      </w:r>
      <w:r>
        <w:rPr>
          <w:rFonts w:hint="eastAsia" w:ascii="宋体" w:hAnsi="宋体" w:eastAsia="方正仿宋_GBK" w:cs="Times New Roman"/>
          <w:kern w:val="0"/>
          <w:sz w:val="32"/>
          <w:szCs w:val="22"/>
          <w:lang w:eastAsia="zh-CN"/>
        </w:rPr>
        <w:t>或虽有异议但不成立</w:t>
      </w:r>
      <w:r>
        <w:rPr>
          <w:rFonts w:hint="eastAsia" w:ascii="宋体" w:hAnsi="宋体" w:eastAsia="方正仿宋_GBK" w:cs="Times New Roman"/>
          <w:kern w:val="0"/>
          <w:sz w:val="32"/>
          <w:szCs w:val="22"/>
        </w:rPr>
        <w:t>，</w:t>
      </w:r>
      <w:r>
        <w:rPr>
          <w:rFonts w:hint="eastAsia" w:ascii="宋体" w:hAnsi="宋体" w:eastAsia="方正仿宋_GBK" w:cs="Times New Roman"/>
          <w:kern w:val="0"/>
          <w:sz w:val="32"/>
          <w:szCs w:val="22"/>
          <w:lang w:eastAsia="zh-CN"/>
        </w:rPr>
        <w:t>项目实施机构应当</w:t>
      </w:r>
      <w:r>
        <w:rPr>
          <w:rFonts w:hint="eastAsia" w:ascii="宋体" w:hAnsi="宋体" w:eastAsia="方正仿宋_GBK" w:cs="Times New Roman"/>
          <w:kern w:val="0"/>
          <w:sz w:val="32"/>
          <w:szCs w:val="22"/>
        </w:rPr>
        <w:t>确定排名第一的中标候选人为中标人。</w:t>
      </w:r>
    </w:p>
    <w:p w14:paraId="7CA8E82B">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第二十九条</w:t>
      </w:r>
      <w:r>
        <w:rPr>
          <w:rFonts w:hint="eastAsia" w:ascii="宋体" w:hAnsi="宋体" w:eastAsia="方正仿宋_GBK" w:cs="Times New Roman"/>
          <w:kern w:val="0"/>
          <w:sz w:val="32"/>
          <w:szCs w:val="22"/>
        </w:rPr>
        <w:t xml:space="preserve"> 中标特许经营者与项目实施机构签订特许经营协议前，应提交</w:t>
      </w:r>
      <w:r>
        <w:rPr>
          <w:rFonts w:hint="eastAsia" w:ascii="宋体" w:hAnsi="宋体" w:eastAsia="方正仿宋_GBK" w:cs="Times New Roman"/>
          <w:kern w:val="0"/>
          <w:sz w:val="32"/>
          <w:szCs w:val="22"/>
          <w:lang w:eastAsia="zh-CN"/>
        </w:rPr>
        <w:t>招标文件要求</w:t>
      </w:r>
      <w:r>
        <w:rPr>
          <w:rFonts w:hint="eastAsia" w:ascii="宋体" w:hAnsi="宋体" w:eastAsia="方正仿宋_GBK" w:cs="Times New Roman"/>
          <w:kern w:val="0"/>
          <w:sz w:val="32"/>
          <w:szCs w:val="22"/>
          <w:lang w:val="en-US" w:eastAsia="zh-CN"/>
        </w:rPr>
        <w:t>的</w:t>
      </w:r>
      <w:r>
        <w:rPr>
          <w:rFonts w:hint="eastAsia" w:ascii="宋体" w:hAnsi="宋体" w:eastAsia="方正仿宋_GBK" w:cs="Times New Roman"/>
          <w:kern w:val="0"/>
          <w:sz w:val="32"/>
          <w:szCs w:val="22"/>
        </w:rPr>
        <w:t>履约保证金，可采用现金、银行保函、保证保险或支票等方式提交。</w:t>
      </w:r>
    </w:p>
    <w:p w14:paraId="1736F7EB">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第三十条</w:t>
      </w:r>
      <w:r>
        <w:rPr>
          <w:rFonts w:hint="eastAsia" w:ascii="宋体" w:hAnsi="宋体" w:eastAsia="方正仿宋_GBK" w:cs="Times New Roman"/>
          <w:kern w:val="0"/>
          <w:sz w:val="32"/>
          <w:szCs w:val="22"/>
        </w:rPr>
        <w:t xml:space="preserve"> 招标结果公示期满无异议</w:t>
      </w:r>
      <w:r>
        <w:rPr>
          <w:rFonts w:hint="eastAsia" w:ascii="宋体" w:hAnsi="宋体" w:eastAsia="方正仿宋_GBK" w:cs="Times New Roman"/>
          <w:kern w:val="0"/>
          <w:sz w:val="32"/>
          <w:szCs w:val="22"/>
          <w:lang w:eastAsia="zh-CN"/>
        </w:rPr>
        <w:t>或虽有异议但不成立</w:t>
      </w:r>
      <w:r>
        <w:rPr>
          <w:rFonts w:hint="eastAsia" w:ascii="宋体" w:hAnsi="宋体" w:eastAsia="方正仿宋_GBK" w:cs="Times New Roman"/>
          <w:kern w:val="0"/>
          <w:sz w:val="32"/>
          <w:szCs w:val="22"/>
        </w:rPr>
        <w:t>的，项目实施机构应当与依法选定的特许经营者签订特许经营协议；需要成立项目公司的，项目实施机构应当与依法选定的特许经营者签订初步协议，约定注册成立项目公司（项目法人）期限，</w:t>
      </w:r>
      <w:r>
        <w:rPr>
          <w:rFonts w:hint="eastAsia" w:ascii="宋体" w:hAnsi="宋体" w:eastAsia="方正仿宋_GBK" w:cs="Times New Roman"/>
          <w:kern w:val="0"/>
          <w:sz w:val="32"/>
          <w:szCs w:val="22"/>
          <w:lang w:val="en-US" w:eastAsia="zh-CN"/>
        </w:rPr>
        <w:t>再</w:t>
      </w:r>
      <w:r>
        <w:rPr>
          <w:rFonts w:hint="eastAsia" w:ascii="宋体" w:hAnsi="宋体" w:eastAsia="方正仿宋_GBK" w:cs="Times New Roman"/>
          <w:kern w:val="0"/>
          <w:sz w:val="32"/>
          <w:szCs w:val="22"/>
        </w:rPr>
        <w:t>与项目公司签订特许经营协议。</w:t>
      </w:r>
    </w:p>
    <w:p w14:paraId="370E69C7">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协议及相关文件</w:t>
      </w:r>
      <w:r>
        <w:rPr>
          <w:rFonts w:hint="eastAsia" w:ascii="宋体" w:hAnsi="宋体" w:eastAsia="方正仿宋_GBK" w:cs="Times New Roman"/>
          <w:kern w:val="0"/>
          <w:sz w:val="32"/>
          <w:szCs w:val="22"/>
          <w:lang w:val="en-US" w:eastAsia="zh-CN"/>
        </w:rPr>
        <w:t>不得</w:t>
      </w:r>
      <w:r>
        <w:rPr>
          <w:rFonts w:hint="eastAsia" w:ascii="宋体" w:hAnsi="宋体" w:eastAsia="方正仿宋_GBK" w:cs="Times New Roman"/>
          <w:kern w:val="0"/>
          <w:sz w:val="32"/>
          <w:szCs w:val="22"/>
        </w:rPr>
        <w:t>变更</w:t>
      </w:r>
      <w:r>
        <w:rPr>
          <w:rFonts w:hint="eastAsia" w:ascii="宋体" w:hAnsi="宋体" w:eastAsia="方正仿宋_GBK" w:cs="方正仿宋_GBK"/>
          <w:sz w:val="32"/>
          <w:szCs w:val="32"/>
        </w:rPr>
        <w:t>特许经营方案及招标文件中的核心条款</w:t>
      </w:r>
      <w:r>
        <w:rPr>
          <w:rFonts w:hint="eastAsia" w:ascii="宋体" w:hAnsi="宋体" w:eastAsia="方正仿宋_GBK" w:cs="Times New Roman"/>
          <w:kern w:val="0"/>
          <w:sz w:val="32"/>
          <w:szCs w:val="22"/>
        </w:rPr>
        <w:t>。</w:t>
      </w:r>
    </w:p>
    <w:p w14:paraId="3584E02F">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特许经营协议签订后，实施机构应当将特许经营</w:t>
      </w:r>
      <w:r>
        <w:rPr>
          <w:rFonts w:hint="eastAsia" w:ascii="宋体" w:hAnsi="宋体" w:eastAsia="方正仿宋_GBK" w:cs="Times New Roman"/>
          <w:kern w:val="0"/>
          <w:sz w:val="32"/>
          <w:szCs w:val="22"/>
          <w:lang w:val="en-US" w:eastAsia="zh-CN"/>
        </w:rPr>
        <w:t>项目的核心</w:t>
      </w:r>
      <w:r>
        <w:rPr>
          <w:rFonts w:hint="eastAsia" w:ascii="宋体" w:hAnsi="宋体" w:eastAsia="方正仿宋_GBK" w:cs="Times New Roman"/>
          <w:kern w:val="0"/>
          <w:sz w:val="32"/>
          <w:szCs w:val="22"/>
        </w:rPr>
        <w:t>内容</w:t>
      </w:r>
      <w:r>
        <w:rPr>
          <w:rFonts w:hint="eastAsia" w:ascii="宋体" w:hAnsi="宋体" w:eastAsia="方正仿宋_GBK" w:cs="Times New Roman"/>
          <w:kern w:val="0"/>
          <w:sz w:val="32"/>
          <w:szCs w:val="22"/>
          <w:lang w:val="en-US" w:eastAsia="zh-CN"/>
        </w:rPr>
        <w:t>及</w:t>
      </w:r>
      <w:r>
        <w:rPr>
          <w:rFonts w:hint="eastAsia" w:ascii="宋体" w:hAnsi="宋体" w:eastAsia="方正仿宋_GBK" w:cs="Times New Roman"/>
          <w:kern w:val="0"/>
          <w:sz w:val="32"/>
          <w:szCs w:val="22"/>
        </w:rPr>
        <w:t>信息，</w:t>
      </w:r>
      <w:r>
        <w:rPr>
          <w:rFonts w:hint="eastAsia" w:ascii="宋体" w:hAnsi="宋体" w:eastAsia="方正仿宋_GBK" w:cs="Times New Roman"/>
          <w:kern w:val="0"/>
          <w:sz w:val="32"/>
          <w:szCs w:val="22"/>
          <w:lang w:val="en-US" w:eastAsia="zh-CN"/>
        </w:rPr>
        <w:t>通过</w:t>
      </w:r>
      <w:r>
        <w:rPr>
          <w:rFonts w:hint="eastAsia" w:ascii="宋体" w:hAnsi="宋体" w:eastAsia="方正仿宋_GBK" w:cs="Times New Roman"/>
          <w:kern w:val="0"/>
          <w:sz w:val="32"/>
          <w:szCs w:val="22"/>
        </w:rPr>
        <w:t>全国投资项目在线审批监管平台</w:t>
      </w:r>
      <w:r>
        <w:rPr>
          <w:rFonts w:hint="eastAsia" w:ascii="宋体" w:hAnsi="宋体" w:eastAsia="方正仿宋_GBK" w:cs="Times New Roman"/>
          <w:kern w:val="0"/>
          <w:sz w:val="32"/>
          <w:szCs w:val="22"/>
          <w:lang w:val="en-US" w:eastAsia="zh-CN"/>
        </w:rPr>
        <w:t>进行</w:t>
      </w:r>
      <w:r>
        <w:rPr>
          <w:rFonts w:hint="eastAsia" w:ascii="宋体" w:hAnsi="宋体" w:eastAsia="方正仿宋_GBK" w:cs="Times New Roman"/>
          <w:kern w:val="0"/>
          <w:sz w:val="32"/>
          <w:szCs w:val="22"/>
        </w:rPr>
        <w:t>公开。</w:t>
      </w:r>
    </w:p>
    <w:p w14:paraId="64401A37">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第三十一条</w:t>
      </w:r>
      <w:r>
        <w:rPr>
          <w:rFonts w:hint="eastAsia" w:ascii="宋体" w:hAnsi="宋体" w:eastAsia="方正仿宋_GBK" w:cs="Times New Roman"/>
          <w:kern w:val="0"/>
          <w:sz w:val="32"/>
          <w:szCs w:val="22"/>
        </w:rPr>
        <w:t xml:space="preserve"> 根据初步协议（如有）和特许经营方案要求，如成立项目公司的，项目公司可以由特许经营者单独设立，也可以由政府指定出资人代表采取出资入股或设立特殊股份的方式与特许经营者共同设立。</w:t>
      </w:r>
    </w:p>
    <w:p w14:paraId="1274CBEC">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第三十二条</w:t>
      </w:r>
      <w:r>
        <w:rPr>
          <w:rFonts w:hint="eastAsia" w:ascii="宋体" w:hAnsi="宋体" w:eastAsia="方正仿宋_GBK" w:cs="Times New Roman"/>
          <w:kern w:val="0"/>
          <w:sz w:val="32"/>
          <w:szCs w:val="22"/>
        </w:rPr>
        <w:t xml:space="preserve"> 高速公路特许经营项目特许经营协议应参照国家发展改革委制定的《政府和社会资本合作项目特许经营（编制）协议范本（2024年试行版）》编制。</w:t>
      </w:r>
    </w:p>
    <w:p w14:paraId="0BCFBD7D">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第三十三条</w:t>
      </w:r>
      <w:r>
        <w:rPr>
          <w:rFonts w:hint="eastAsia" w:ascii="宋体" w:hAnsi="宋体" w:eastAsia="方正仿宋_GBK" w:cs="Times New Roman"/>
          <w:kern w:val="0"/>
          <w:sz w:val="32"/>
          <w:szCs w:val="22"/>
        </w:rPr>
        <w:t xml:space="preserve"> 政府采用资本金注入方式投资的高速公路特许经营项目，按照《政府投资条例》有关规定履行审批手续。企业投资的高速公路特许经营项目，</w:t>
      </w:r>
      <w:r>
        <w:rPr>
          <w:rFonts w:hint="eastAsia" w:ascii="宋体" w:hAnsi="宋体" w:eastAsia="方正仿宋_GBK" w:cs="Times New Roman"/>
          <w:kern w:val="0"/>
          <w:sz w:val="32"/>
          <w:szCs w:val="22"/>
          <w:lang w:eastAsia="zh-CN"/>
        </w:rPr>
        <w:t>以及企业投资并申请使用政府投资补助或贷款贴息的高速公路特许经营项目，</w:t>
      </w:r>
      <w:r>
        <w:rPr>
          <w:rFonts w:hint="eastAsia" w:ascii="宋体" w:hAnsi="宋体" w:eastAsia="方正仿宋_GBK" w:cs="Times New Roman"/>
          <w:kern w:val="0"/>
          <w:sz w:val="32"/>
          <w:szCs w:val="22"/>
        </w:rPr>
        <w:t>按照《企业投资项目核准和备案管理条例》有关规定，履行核准手续。</w:t>
      </w:r>
    </w:p>
    <w:p w14:paraId="4C3019D2">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依法选定的特许经营者成立的项目公司或不成立项目公司的特许经营者负责申请项目审批或核准并作为特许经营项目法人。特许经营项目法人确定后，如与项目前期办理审批等手续时的项目法人不一致的，应当依法办理项目法人变更手续，</w:t>
      </w:r>
      <w:r>
        <w:rPr>
          <w:rFonts w:hint="eastAsia" w:ascii="宋体" w:hAnsi="宋体" w:eastAsia="方正仿宋_GBK" w:cs="方正仿宋_GBK"/>
          <w:sz w:val="32"/>
          <w:szCs w:val="32"/>
        </w:rPr>
        <w:t>实施机构应提供支持。</w:t>
      </w:r>
    </w:p>
    <w:p w14:paraId="4F2B3A30">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第三十四条</w:t>
      </w:r>
      <w:r>
        <w:rPr>
          <w:rFonts w:hint="eastAsia" w:ascii="宋体" w:hAnsi="宋体" w:eastAsia="方正仿宋_GBK" w:cs="Times New Roman"/>
          <w:kern w:val="0"/>
          <w:sz w:val="32"/>
          <w:szCs w:val="22"/>
        </w:rPr>
        <w:t xml:space="preserve"> 完成审批或核准手续的高速公路特许经营项目如发生变更建设地点、调整项目资本金、调整主要建设内容、调整建设标准等重大情形</w:t>
      </w:r>
      <w:r>
        <w:rPr>
          <w:rFonts w:hint="eastAsia" w:ascii="宋体" w:hAnsi="宋体" w:eastAsia="方正仿宋_GBK" w:cs="Times New Roman"/>
          <w:kern w:val="0"/>
          <w:sz w:val="32"/>
          <w:szCs w:val="22"/>
          <w:lang w:val="en-US" w:eastAsia="zh-CN"/>
        </w:rPr>
        <w:t>的</w:t>
      </w:r>
      <w:r>
        <w:rPr>
          <w:rFonts w:hint="eastAsia" w:ascii="宋体" w:hAnsi="宋体" w:eastAsia="方正仿宋_GBK" w:cs="Times New Roman"/>
          <w:kern w:val="0"/>
          <w:sz w:val="32"/>
          <w:szCs w:val="22"/>
        </w:rPr>
        <w:t>，</w:t>
      </w:r>
      <w:r>
        <w:rPr>
          <w:rFonts w:hint="default" w:ascii="宋体" w:hAnsi="宋体" w:eastAsia="方正仿宋_GBK" w:cs="Times New Roman"/>
          <w:kern w:val="0"/>
          <w:sz w:val="32"/>
          <w:szCs w:val="22"/>
          <w:lang w:val="en-US"/>
        </w:rPr>
        <w:t>应</w:t>
      </w:r>
      <w:r>
        <w:rPr>
          <w:rFonts w:hint="eastAsia" w:ascii="宋体" w:hAnsi="宋体" w:eastAsia="方正仿宋_GBK" w:cs="Times New Roman"/>
          <w:kern w:val="0"/>
          <w:sz w:val="32"/>
          <w:szCs w:val="22"/>
        </w:rPr>
        <w:t>重新履行前期审查工作，报请原审查、审批、核准机关重新履行项目审查、审核程序，必要时应重新开展特许经营模式可行性论证与特许经营方案审核工作。</w:t>
      </w:r>
    </w:p>
    <w:p w14:paraId="3DF4C356">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第三十五条</w:t>
      </w:r>
      <w:r>
        <w:rPr>
          <w:rFonts w:hint="eastAsia" w:ascii="宋体" w:hAnsi="宋体" w:eastAsia="方正仿宋_GBK" w:cs="Times New Roman"/>
          <w:kern w:val="0"/>
          <w:sz w:val="32"/>
          <w:szCs w:val="22"/>
        </w:rPr>
        <w:t xml:space="preserve"> 对于已获得交通运输部资金安排意见的高速公路特许经营项目，在签署特许经营协议后，由省交通运输厅组织向交通运输部报送交通运输领域重点项目资金申请确认函、并附项目审批（核准）意见、特许经营协议等相关材料。省交通运输厅会同省财政厅，按要求监管</w:t>
      </w:r>
      <w:r>
        <w:rPr>
          <w:rFonts w:hint="eastAsia" w:ascii="宋体" w:hAnsi="宋体" w:eastAsia="方正仿宋_GBK" w:cs="方正仿宋_GBK"/>
          <w:sz w:val="32"/>
          <w:szCs w:val="32"/>
        </w:rPr>
        <w:t>交通运输领域重点项目资金使用</w:t>
      </w:r>
      <w:r>
        <w:rPr>
          <w:rFonts w:hint="eastAsia" w:ascii="宋体" w:hAnsi="宋体" w:eastAsia="方正仿宋_GBK" w:cs="Times New Roman"/>
          <w:kern w:val="0"/>
          <w:sz w:val="32"/>
          <w:szCs w:val="22"/>
        </w:rPr>
        <w:t>。</w:t>
      </w:r>
    </w:p>
    <w:p w14:paraId="12D2A9B0">
      <w:pPr>
        <w:widowControl/>
        <w:snapToGrid w:val="0"/>
        <w:spacing w:line="600" w:lineRule="exact"/>
        <w:jc w:val="center"/>
        <w:rPr>
          <w:rFonts w:ascii="黑体" w:hAnsi="黑体" w:eastAsia="黑体" w:cs="Times New Roman"/>
          <w:b/>
          <w:kern w:val="0"/>
          <w:sz w:val="32"/>
          <w:szCs w:val="21"/>
        </w:rPr>
      </w:pPr>
      <w:r>
        <w:rPr>
          <w:rFonts w:hint="eastAsia" w:ascii="黑体" w:hAnsi="黑体" w:eastAsia="黑体" w:cs="Times New Roman"/>
          <w:b/>
          <w:kern w:val="0"/>
          <w:sz w:val="32"/>
          <w:szCs w:val="21"/>
        </w:rPr>
        <w:t>第</w:t>
      </w:r>
      <w:r>
        <w:rPr>
          <w:rFonts w:hint="eastAsia" w:ascii="黑体" w:hAnsi="黑体" w:eastAsia="黑体" w:cs="Times New Roman"/>
          <w:b/>
          <w:kern w:val="0"/>
          <w:sz w:val="32"/>
          <w:szCs w:val="21"/>
          <w:lang w:eastAsia="zh-CN"/>
        </w:rPr>
        <w:t>五</w:t>
      </w:r>
      <w:r>
        <w:rPr>
          <w:rFonts w:hint="eastAsia" w:ascii="黑体" w:hAnsi="黑体" w:eastAsia="黑体" w:cs="Times New Roman"/>
          <w:b/>
          <w:kern w:val="0"/>
          <w:sz w:val="32"/>
          <w:szCs w:val="21"/>
        </w:rPr>
        <w:t>章 项目建设及运营管理</w:t>
      </w:r>
    </w:p>
    <w:p w14:paraId="0948F322">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第三十六条</w:t>
      </w:r>
      <w:r>
        <w:rPr>
          <w:rFonts w:hint="eastAsia" w:ascii="宋体" w:hAnsi="宋体" w:eastAsia="方正仿宋_GBK" w:cs="Times New Roman"/>
          <w:kern w:val="0"/>
          <w:sz w:val="32"/>
          <w:szCs w:val="22"/>
        </w:rPr>
        <w:t xml:space="preserve"> 特许经营者应按照初步协议（如有）、特许经营协议</w:t>
      </w:r>
      <w:r>
        <w:rPr>
          <w:rFonts w:hint="eastAsia" w:ascii="宋体" w:hAnsi="宋体" w:eastAsia="方正仿宋_GBK" w:cs="Times New Roman"/>
          <w:kern w:val="0"/>
          <w:sz w:val="32"/>
          <w:szCs w:val="22"/>
          <w:lang w:val="en-US" w:eastAsia="zh-CN"/>
        </w:rPr>
        <w:t>严格</w:t>
      </w:r>
      <w:r>
        <w:rPr>
          <w:rFonts w:hint="eastAsia" w:ascii="宋体" w:hAnsi="宋体" w:eastAsia="方正仿宋_GBK" w:cs="Times New Roman"/>
          <w:kern w:val="0"/>
          <w:sz w:val="32"/>
          <w:szCs w:val="22"/>
        </w:rPr>
        <w:t>履行投资义务。成立项目公司的，由项目公司负责高速公路特许经营项目的融资、建设、运营、维护和移交。</w:t>
      </w:r>
    </w:p>
    <w:p w14:paraId="2578C2EC">
      <w:pPr>
        <w:spacing w:line="560" w:lineRule="exact"/>
        <w:ind w:firstLine="640" w:firstLineChars="200"/>
        <w:rPr>
          <w:rFonts w:hint="eastAsia" w:ascii="宋体" w:hAnsi="宋体" w:eastAsia="方正仿宋_GBK" w:cs="Times New Roman"/>
          <w:kern w:val="0"/>
          <w:sz w:val="32"/>
          <w:szCs w:val="22"/>
        </w:rPr>
      </w:pPr>
      <w:r>
        <w:rPr>
          <w:rFonts w:hint="eastAsia" w:ascii="宋体" w:hAnsi="宋体" w:eastAsia="方正仿宋_GBK" w:cs="Times New Roman"/>
          <w:kern w:val="0"/>
          <w:sz w:val="32"/>
          <w:szCs w:val="22"/>
        </w:rPr>
        <w:t>特许经营者或项目公司应确保项目资本金</w:t>
      </w:r>
      <w:r>
        <w:rPr>
          <w:rFonts w:hint="eastAsia" w:ascii="宋体" w:hAnsi="宋体" w:eastAsia="方正仿宋_GBK" w:cs="Times New Roman"/>
          <w:kern w:val="0"/>
          <w:sz w:val="32"/>
          <w:szCs w:val="22"/>
          <w:lang w:eastAsia="zh-CN"/>
        </w:rPr>
        <w:t>及项目融资</w:t>
      </w:r>
      <w:r>
        <w:rPr>
          <w:rFonts w:hint="eastAsia" w:ascii="宋体" w:hAnsi="宋体" w:eastAsia="方正仿宋_GBK" w:cs="Times New Roman"/>
          <w:kern w:val="0"/>
          <w:sz w:val="32"/>
          <w:szCs w:val="22"/>
        </w:rPr>
        <w:t>及时足额到位，</w:t>
      </w:r>
      <w:r>
        <w:rPr>
          <w:rFonts w:hint="eastAsia" w:ascii="宋体" w:hAnsi="宋体" w:eastAsia="方正仿宋_GBK" w:cs="Times New Roman"/>
          <w:kern w:val="0"/>
          <w:sz w:val="32"/>
          <w:szCs w:val="22"/>
          <w:lang w:eastAsia="zh-CN"/>
        </w:rPr>
        <w:t>项目资本金及项目融资</w:t>
      </w:r>
      <w:r>
        <w:rPr>
          <w:rFonts w:hint="eastAsia" w:ascii="宋体" w:hAnsi="宋体" w:eastAsia="方正仿宋_GBK" w:cs="Times New Roman"/>
          <w:kern w:val="0"/>
          <w:sz w:val="32"/>
          <w:szCs w:val="22"/>
        </w:rPr>
        <w:t>未按约定</w:t>
      </w:r>
      <w:r>
        <w:rPr>
          <w:rFonts w:hint="eastAsia" w:ascii="宋体" w:hAnsi="宋体" w:eastAsia="方正仿宋_GBK" w:cs="Times New Roman"/>
          <w:kern w:val="0"/>
          <w:sz w:val="32"/>
          <w:szCs w:val="22"/>
          <w:lang w:eastAsia="zh-CN"/>
        </w:rPr>
        <w:t>到位</w:t>
      </w:r>
      <w:r>
        <w:rPr>
          <w:rFonts w:hint="eastAsia" w:ascii="宋体" w:hAnsi="宋体" w:eastAsia="方正仿宋_GBK" w:cs="Times New Roman"/>
          <w:kern w:val="0"/>
          <w:sz w:val="32"/>
          <w:szCs w:val="22"/>
        </w:rPr>
        <w:t>的，项目实施机构可依法向项目公司或特许经营者提出履约要求，必要时提出终止特许经营协议的要求。</w:t>
      </w:r>
    </w:p>
    <w:p w14:paraId="4BAEFE35">
      <w:pPr>
        <w:spacing w:line="560" w:lineRule="exact"/>
        <w:ind w:firstLine="640" w:firstLineChars="200"/>
        <w:rPr>
          <w:rFonts w:hint="default" w:ascii="宋体" w:hAnsi="宋体" w:eastAsia="方正仿宋_GBK" w:cs="Times New Roman"/>
          <w:kern w:val="0"/>
          <w:sz w:val="32"/>
          <w:szCs w:val="22"/>
          <w:highlight w:val="none"/>
          <w:lang w:val="en-US" w:eastAsia="zh-CN"/>
        </w:rPr>
      </w:pPr>
      <w:r>
        <w:rPr>
          <w:rFonts w:hint="eastAsia" w:ascii="宋体" w:hAnsi="宋体" w:eastAsia="方正仿宋_GBK" w:cs="Times New Roman"/>
          <w:kern w:val="0"/>
          <w:sz w:val="32"/>
          <w:szCs w:val="22"/>
          <w:highlight w:val="none"/>
          <w:lang w:val="en-US" w:eastAsia="zh-CN"/>
        </w:rPr>
        <w:t>特许经营者或项目公司应按照“市场化、法治化”原则开展项目融资，承担债务还本付息责任，不得要求或变相要求政府承担偿债责任，不得违规将特许经营权进行担保融资并以财政资金作为还款来源。</w:t>
      </w:r>
    </w:p>
    <w:p w14:paraId="282BF84D">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第三十七条</w:t>
      </w:r>
      <w:r>
        <w:rPr>
          <w:rFonts w:hint="eastAsia" w:ascii="宋体" w:hAnsi="宋体" w:eastAsia="方正仿宋_GBK" w:cs="Times New Roman"/>
          <w:kern w:val="0"/>
          <w:sz w:val="32"/>
          <w:szCs w:val="22"/>
        </w:rPr>
        <w:t xml:space="preserve"> 各级人民政府及部门不得为项目公司或特许经营者的融资提供担保或承诺。</w:t>
      </w:r>
    </w:p>
    <w:p w14:paraId="18938028">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第三十八条</w:t>
      </w:r>
      <w:r>
        <w:rPr>
          <w:rFonts w:hint="eastAsia" w:ascii="宋体" w:hAnsi="宋体" w:eastAsia="方正仿宋_GBK" w:cs="Times New Roman"/>
          <w:kern w:val="0"/>
          <w:sz w:val="32"/>
          <w:szCs w:val="22"/>
        </w:rPr>
        <w:t xml:space="preserve"> 项目建设应严格执行国家规定的基本建设程序，依法实行项目法人责任制度、工程招标投标制度、工程监理制度、合同管理制度和项目资本金</w:t>
      </w:r>
      <w:r>
        <w:rPr>
          <w:rFonts w:hint="eastAsia" w:ascii="宋体" w:hAnsi="宋体" w:eastAsia="方正仿宋_GBK" w:cs="Times New Roman"/>
          <w:kern w:val="0"/>
          <w:sz w:val="32"/>
          <w:szCs w:val="22"/>
          <w:lang w:val="en-US" w:eastAsia="zh-CN"/>
        </w:rPr>
        <w:t>等</w:t>
      </w:r>
      <w:r>
        <w:rPr>
          <w:rFonts w:hint="eastAsia" w:ascii="宋体" w:hAnsi="宋体" w:eastAsia="方正仿宋_GBK" w:cs="Times New Roman"/>
          <w:kern w:val="0"/>
          <w:sz w:val="32"/>
          <w:szCs w:val="22"/>
        </w:rPr>
        <w:t>制度。</w:t>
      </w:r>
    </w:p>
    <w:p w14:paraId="30F6F3D8">
      <w:pPr>
        <w:spacing w:line="560" w:lineRule="exact"/>
        <w:ind w:firstLine="640" w:firstLineChars="200"/>
        <w:rPr>
          <w:rFonts w:hint="eastAsia" w:ascii="宋体" w:hAnsi="宋体" w:eastAsia="方正仿宋_GBK" w:cs="Times New Roman"/>
          <w:kern w:val="0"/>
          <w:sz w:val="32"/>
          <w:szCs w:val="22"/>
        </w:rPr>
      </w:pPr>
      <w:r>
        <w:rPr>
          <w:rFonts w:hint="eastAsia" w:ascii="宋体" w:hAnsi="宋体" w:eastAsia="方正仿宋_GBK" w:cs="Times New Roman"/>
          <w:kern w:val="0"/>
          <w:sz w:val="32"/>
          <w:szCs w:val="22"/>
        </w:rPr>
        <w:t>特许经营者或项目公司应依法履行项目建设管理职责，严格执行国家和</w:t>
      </w:r>
      <w:r>
        <w:rPr>
          <w:rFonts w:hint="eastAsia" w:ascii="宋体" w:hAnsi="宋体" w:eastAsia="方正仿宋_GBK" w:cs="Times New Roman"/>
          <w:kern w:val="0"/>
          <w:sz w:val="32"/>
          <w:szCs w:val="22"/>
          <w:lang w:val="en-US" w:eastAsia="zh-CN"/>
        </w:rPr>
        <w:t>云南</w:t>
      </w:r>
      <w:r>
        <w:rPr>
          <w:rFonts w:hint="eastAsia" w:ascii="宋体" w:hAnsi="宋体" w:eastAsia="方正仿宋_GBK" w:cs="Times New Roman"/>
          <w:kern w:val="0"/>
          <w:sz w:val="32"/>
          <w:szCs w:val="22"/>
        </w:rPr>
        <w:t>省有关工程建设的管理规定和强制性标准，具体组织项目建设</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lang w:val="en-US" w:eastAsia="zh-CN"/>
        </w:rPr>
        <w:t>运营和管理</w:t>
      </w:r>
      <w:r>
        <w:rPr>
          <w:rFonts w:hint="eastAsia" w:ascii="宋体" w:hAnsi="宋体" w:eastAsia="方正仿宋_GBK" w:cs="Times New Roman"/>
          <w:kern w:val="0"/>
          <w:sz w:val="32"/>
          <w:szCs w:val="22"/>
        </w:rPr>
        <w:t>。配备</w:t>
      </w:r>
      <w:r>
        <w:rPr>
          <w:rFonts w:hint="eastAsia" w:ascii="宋体" w:hAnsi="宋体" w:eastAsia="方正仿宋_GBK" w:cs="方正仿宋_GBK"/>
          <w:sz w:val="32"/>
          <w:szCs w:val="32"/>
        </w:rPr>
        <w:t>专业技术、经济管理</w:t>
      </w:r>
      <w:r>
        <w:rPr>
          <w:rFonts w:hint="eastAsia" w:ascii="宋体" w:hAnsi="宋体" w:eastAsia="方正仿宋_GBK" w:cs="方正仿宋_GBK"/>
          <w:sz w:val="32"/>
          <w:szCs w:val="32"/>
          <w:lang w:val="en-US" w:eastAsia="zh-CN"/>
        </w:rPr>
        <w:t>等</w:t>
      </w:r>
      <w:r>
        <w:rPr>
          <w:rFonts w:hint="eastAsia" w:ascii="宋体" w:hAnsi="宋体" w:eastAsia="方正仿宋_GBK" w:cs="方正仿宋_GBK"/>
          <w:sz w:val="32"/>
          <w:szCs w:val="32"/>
        </w:rPr>
        <w:t>人员，按批准的方案、标准、工期组织建设，不得擅自调整</w:t>
      </w:r>
      <w:r>
        <w:rPr>
          <w:rFonts w:hint="eastAsia" w:ascii="宋体" w:hAnsi="宋体" w:eastAsia="方正仿宋_GBK" w:cs="方正仿宋_GBK"/>
          <w:sz w:val="32"/>
          <w:szCs w:val="32"/>
          <w:lang w:eastAsia="zh-CN"/>
        </w:rPr>
        <w:t>。</w:t>
      </w:r>
    </w:p>
    <w:p w14:paraId="7F0A9040">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特许经营者或项目公司应建立健全法人管理、监理控制、施工负责的工程进度、质量、安全、造价、生态环保管理体系，严格落实生态环境保护、</w:t>
      </w:r>
      <w:r>
        <w:rPr>
          <w:rFonts w:hint="eastAsia" w:ascii="宋体" w:hAnsi="宋体" w:eastAsia="方正仿宋_GBK" w:cs="Times New Roman"/>
          <w:kern w:val="0"/>
          <w:sz w:val="32"/>
          <w:szCs w:val="22"/>
          <w:lang w:eastAsia="zh-CN"/>
        </w:rPr>
        <w:t>水土保持、</w:t>
      </w:r>
      <w:r>
        <w:rPr>
          <w:rFonts w:hint="eastAsia" w:ascii="宋体" w:hAnsi="宋体" w:eastAsia="方正仿宋_GBK" w:cs="Times New Roman"/>
          <w:kern w:val="0"/>
          <w:sz w:val="32"/>
          <w:szCs w:val="22"/>
        </w:rPr>
        <w:t>耕地保护、工程价款结算和保障农民工工资支付等制度，对项目进行统一管理。</w:t>
      </w:r>
    </w:p>
    <w:p w14:paraId="50EA84DC">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第三十九条</w:t>
      </w:r>
      <w:r>
        <w:rPr>
          <w:rFonts w:hint="eastAsia" w:ascii="宋体" w:hAnsi="宋体" w:eastAsia="方正仿宋_GBK" w:cs="Times New Roman"/>
          <w:kern w:val="0"/>
          <w:sz w:val="32"/>
          <w:szCs w:val="22"/>
        </w:rPr>
        <w:t xml:space="preserve"> 在特许经营者确定前，为确保项目建设顺利实施，交通运输主管部门或项目实施机构组织开展的相关前期工作及签订的合同，待项目法人确定后，交通运输主管部门或项目实施机构将相关前期工作成果及合同权利义务移交项目法人，项目法人应严格按合同约定支付费用。</w:t>
      </w:r>
    </w:p>
    <w:p w14:paraId="0262271A">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特许经营者或项目公司对交通运输主管部门或项目实施机构移交的前期工作成果需作修改、完善或调整的，由此产生的费用由特许经营者或项目公司承担。</w:t>
      </w:r>
    </w:p>
    <w:p w14:paraId="27183468">
      <w:pPr>
        <w:spacing w:line="560" w:lineRule="exact"/>
        <w:ind w:firstLine="643" w:firstLineChars="200"/>
        <w:rPr>
          <w:rFonts w:ascii="宋体" w:hAnsi="宋体" w:eastAsia="方正仿宋_GBK" w:cs="Times New Roman"/>
          <w:b w:val="0"/>
          <w:bCs w:val="0"/>
          <w:color w:val="auto"/>
          <w:kern w:val="0"/>
          <w:sz w:val="32"/>
          <w:szCs w:val="22"/>
          <w:highlight w:val="yellow"/>
        </w:rPr>
      </w:pPr>
      <w:r>
        <w:rPr>
          <w:rFonts w:hint="eastAsia" w:ascii="宋体" w:hAnsi="宋体" w:eastAsia="方正仿宋_GBK" w:cs="Times New Roman"/>
          <w:b/>
          <w:bCs/>
          <w:kern w:val="0"/>
          <w:sz w:val="32"/>
          <w:szCs w:val="22"/>
        </w:rPr>
        <w:t>第四十条</w:t>
      </w:r>
      <w:r>
        <w:rPr>
          <w:rFonts w:hint="eastAsia" w:ascii="宋体" w:hAnsi="宋体" w:eastAsia="方正仿宋_GBK" w:cs="Times New Roman"/>
          <w:kern w:val="0"/>
          <w:sz w:val="32"/>
          <w:szCs w:val="22"/>
        </w:rPr>
        <w:t xml:space="preserve"> 项目实施机构</w:t>
      </w:r>
      <w:r>
        <w:rPr>
          <w:rFonts w:hint="eastAsia" w:ascii="宋体" w:hAnsi="宋体" w:eastAsia="方正仿宋_GBK" w:cs="Times New Roman"/>
          <w:b w:val="0"/>
          <w:bCs w:val="0"/>
          <w:color w:val="auto"/>
          <w:kern w:val="0"/>
          <w:sz w:val="32"/>
          <w:szCs w:val="22"/>
        </w:rPr>
        <w:t>可以采取依法委托设计审查单位、对项目监理单位或者中心试验室试验检测服务进行采购等措施，对设计及工程质量进行监控；也可以依法委托第三方中介机构对项目进行成本审计或者承担其他评估工作</w:t>
      </w:r>
      <w:r>
        <w:rPr>
          <w:rFonts w:hint="eastAsia" w:ascii="宋体" w:hAnsi="宋体" w:eastAsia="方正仿宋_GBK" w:cs="Times New Roman"/>
          <w:b w:val="0"/>
          <w:bCs w:val="0"/>
          <w:color w:val="auto"/>
          <w:kern w:val="0"/>
          <w:sz w:val="32"/>
          <w:szCs w:val="22"/>
          <w:highlight w:val="none"/>
        </w:rPr>
        <w:t>。</w:t>
      </w:r>
    </w:p>
    <w:p w14:paraId="6E6F2157">
      <w:pPr>
        <w:spacing w:line="560" w:lineRule="exact"/>
        <w:ind w:firstLine="643" w:firstLineChars="200"/>
        <w:rPr>
          <w:rFonts w:ascii="宋体" w:hAnsi="宋体" w:eastAsia="方正仿宋_GBK" w:cs="Times New Roman"/>
          <w:b w:val="0"/>
          <w:bCs w:val="0"/>
          <w:color w:val="auto"/>
          <w:kern w:val="0"/>
          <w:sz w:val="32"/>
          <w:szCs w:val="22"/>
        </w:rPr>
      </w:pPr>
      <w:r>
        <w:rPr>
          <w:rFonts w:hint="eastAsia" w:ascii="宋体" w:hAnsi="宋体" w:eastAsia="方正仿宋_GBK" w:cs="Times New Roman"/>
          <w:b/>
          <w:bCs/>
          <w:color w:val="auto"/>
          <w:kern w:val="0"/>
          <w:sz w:val="32"/>
          <w:szCs w:val="22"/>
        </w:rPr>
        <w:t>第四十一条</w:t>
      </w:r>
      <w:r>
        <w:rPr>
          <w:rFonts w:hint="eastAsia" w:ascii="宋体" w:hAnsi="宋体" w:eastAsia="方正仿宋_GBK" w:cs="Times New Roman"/>
          <w:b w:val="0"/>
          <w:bCs w:val="0"/>
          <w:color w:val="auto"/>
          <w:kern w:val="0"/>
          <w:sz w:val="32"/>
          <w:szCs w:val="22"/>
        </w:rPr>
        <w:t xml:space="preserve"> 项目特许经营者及项目公司应切实加强设计变更管理，严格按交通运输部及省级交通运输主管部门有关公路工程设计变更管理办法规定的程序办理公路工程设计变更审批，未经审查批准的设计变更不得实施。对于缩短桥梁及隧道长度、缩小桥梁跨径、调整结构形式、取消桥梁、降低技术指标或参数、降低高边坡防护能力等负变更及对重大病害处治</w:t>
      </w:r>
      <w:r>
        <w:rPr>
          <w:rFonts w:hint="eastAsia" w:ascii="宋体" w:hAnsi="宋体" w:eastAsia="方正仿宋_GBK" w:cs="Times New Roman"/>
          <w:b w:val="0"/>
          <w:bCs w:val="0"/>
          <w:color w:val="auto"/>
          <w:kern w:val="0"/>
          <w:sz w:val="32"/>
          <w:szCs w:val="22"/>
          <w:lang w:val="en-US" w:eastAsia="zh-CN"/>
        </w:rPr>
        <w:t>等</w:t>
      </w:r>
      <w:r>
        <w:rPr>
          <w:rFonts w:hint="eastAsia" w:ascii="宋体" w:hAnsi="宋体" w:eastAsia="方正仿宋_GBK" w:cs="Times New Roman"/>
          <w:b w:val="0"/>
          <w:bCs w:val="0"/>
          <w:color w:val="auto"/>
          <w:kern w:val="0"/>
          <w:sz w:val="32"/>
          <w:szCs w:val="22"/>
        </w:rPr>
        <w:t>正变更</w:t>
      </w:r>
      <w:r>
        <w:rPr>
          <w:rFonts w:hint="eastAsia" w:ascii="宋体" w:hAnsi="宋体" w:eastAsia="方正仿宋_GBK" w:cs="Times New Roman"/>
          <w:b w:val="0"/>
          <w:bCs w:val="0"/>
          <w:color w:val="auto"/>
          <w:kern w:val="0"/>
          <w:sz w:val="32"/>
          <w:szCs w:val="22"/>
          <w:lang w:val="en-US" w:eastAsia="zh-CN"/>
        </w:rPr>
        <w:t>应</w:t>
      </w:r>
      <w:r>
        <w:rPr>
          <w:rFonts w:hint="eastAsia" w:ascii="宋体" w:hAnsi="宋体" w:eastAsia="方正仿宋_GBK" w:cs="Times New Roman"/>
          <w:b w:val="0"/>
          <w:bCs w:val="0"/>
          <w:color w:val="auto"/>
          <w:kern w:val="0"/>
          <w:sz w:val="32"/>
          <w:szCs w:val="22"/>
        </w:rPr>
        <w:t>严格审查，变更后的安全保障系数不得低于原</w:t>
      </w:r>
      <w:r>
        <w:rPr>
          <w:rFonts w:hint="eastAsia" w:ascii="宋体" w:hAnsi="宋体" w:eastAsia="方正仿宋_GBK" w:cs="Times New Roman"/>
          <w:b w:val="0"/>
          <w:bCs w:val="0"/>
          <w:color w:val="auto"/>
          <w:kern w:val="0"/>
          <w:sz w:val="32"/>
          <w:szCs w:val="22"/>
          <w:lang w:val="en-US" w:eastAsia="zh-CN"/>
        </w:rPr>
        <w:t>标准</w:t>
      </w:r>
      <w:r>
        <w:rPr>
          <w:rFonts w:hint="eastAsia" w:ascii="宋体" w:hAnsi="宋体" w:eastAsia="方正仿宋_GBK" w:cs="Times New Roman"/>
          <w:b w:val="0"/>
          <w:bCs w:val="0"/>
          <w:color w:val="auto"/>
          <w:kern w:val="0"/>
          <w:sz w:val="32"/>
          <w:szCs w:val="22"/>
        </w:rPr>
        <w:t>，不得因设计变更降低公路的</w:t>
      </w:r>
      <w:r>
        <w:rPr>
          <w:rFonts w:hint="eastAsia" w:ascii="宋体" w:hAnsi="宋体" w:eastAsia="方正仿宋_GBK" w:cs="Times New Roman"/>
          <w:b w:val="0"/>
          <w:bCs w:val="0"/>
          <w:color w:val="auto"/>
          <w:kern w:val="0"/>
          <w:sz w:val="32"/>
          <w:szCs w:val="22"/>
          <w:lang w:val="en-US" w:eastAsia="zh-CN"/>
        </w:rPr>
        <w:t>安全、</w:t>
      </w:r>
      <w:r>
        <w:rPr>
          <w:rFonts w:hint="eastAsia" w:ascii="宋体" w:hAnsi="宋体" w:eastAsia="方正仿宋_GBK" w:cs="Times New Roman"/>
          <w:b w:val="0"/>
          <w:bCs w:val="0"/>
          <w:color w:val="auto"/>
          <w:kern w:val="0"/>
          <w:sz w:val="32"/>
          <w:szCs w:val="22"/>
        </w:rPr>
        <w:t>韧性</w:t>
      </w:r>
      <w:r>
        <w:rPr>
          <w:rFonts w:hint="eastAsia" w:ascii="宋体" w:hAnsi="宋体" w:eastAsia="方正仿宋_GBK" w:cs="Times New Roman"/>
          <w:b w:val="0"/>
          <w:bCs w:val="0"/>
          <w:color w:val="auto"/>
          <w:kern w:val="0"/>
          <w:sz w:val="32"/>
          <w:szCs w:val="22"/>
          <w:lang w:eastAsia="zh-CN"/>
        </w:rPr>
        <w:t>、</w:t>
      </w:r>
      <w:r>
        <w:rPr>
          <w:rFonts w:hint="eastAsia" w:ascii="宋体" w:hAnsi="宋体" w:eastAsia="方正仿宋_GBK" w:cs="Times New Roman"/>
          <w:b w:val="0"/>
          <w:bCs w:val="0"/>
          <w:color w:val="auto"/>
          <w:kern w:val="0"/>
          <w:sz w:val="32"/>
          <w:szCs w:val="22"/>
        </w:rPr>
        <w:t>防灾抗灾</w:t>
      </w:r>
      <w:r>
        <w:rPr>
          <w:rFonts w:hint="eastAsia" w:ascii="宋体" w:hAnsi="宋体" w:eastAsia="方正仿宋_GBK" w:cs="Times New Roman"/>
          <w:b w:val="0"/>
          <w:bCs w:val="0"/>
          <w:color w:val="auto"/>
          <w:kern w:val="0"/>
          <w:sz w:val="32"/>
          <w:szCs w:val="22"/>
          <w:lang w:val="en-US" w:eastAsia="zh-CN"/>
        </w:rPr>
        <w:t>及服务</w:t>
      </w:r>
      <w:r>
        <w:rPr>
          <w:rFonts w:hint="eastAsia" w:ascii="宋体" w:hAnsi="宋体" w:eastAsia="方正仿宋_GBK" w:cs="Times New Roman"/>
          <w:b w:val="0"/>
          <w:bCs w:val="0"/>
          <w:color w:val="auto"/>
          <w:kern w:val="0"/>
          <w:sz w:val="32"/>
          <w:szCs w:val="22"/>
        </w:rPr>
        <w:t>能力。交通运输主管部门及其行业</w:t>
      </w:r>
      <w:r>
        <w:rPr>
          <w:rFonts w:hint="eastAsia" w:ascii="宋体" w:hAnsi="宋体" w:eastAsia="方正仿宋_GBK" w:cs="Times New Roman"/>
          <w:b w:val="0"/>
          <w:bCs w:val="0"/>
          <w:color w:val="auto"/>
          <w:kern w:val="0"/>
          <w:sz w:val="32"/>
          <w:szCs w:val="22"/>
          <w:lang w:val="en-US" w:eastAsia="zh-CN"/>
        </w:rPr>
        <w:t>管理</w:t>
      </w:r>
      <w:r>
        <w:rPr>
          <w:rFonts w:hint="eastAsia" w:ascii="宋体" w:hAnsi="宋体" w:eastAsia="方正仿宋_GBK" w:cs="Times New Roman"/>
          <w:b w:val="0"/>
          <w:bCs w:val="0"/>
          <w:color w:val="auto"/>
          <w:kern w:val="0"/>
          <w:sz w:val="32"/>
          <w:szCs w:val="22"/>
        </w:rPr>
        <w:t>机构要加强对设计变更的管理与监督，对违规变更、规避审批、未批先建等行为依法依规进行处理。</w:t>
      </w:r>
    </w:p>
    <w:p w14:paraId="7DAC779E">
      <w:pPr>
        <w:spacing w:line="560" w:lineRule="exact"/>
        <w:ind w:firstLine="643" w:firstLineChars="200"/>
        <w:rPr>
          <w:rFonts w:ascii="宋体" w:hAnsi="宋体" w:eastAsia="方正仿宋_GBK" w:cs="Times New Roman"/>
          <w:b w:val="0"/>
          <w:bCs w:val="0"/>
          <w:color w:val="auto"/>
          <w:kern w:val="0"/>
          <w:sz w:val="32"/>
          <w:szCs w:val="22"/>
        </w:rPr>
      </w:pPr>
      <w:r>
        <w:rPr>
          <w:rFonts w:hint="eastAsia" w:ascii="宋体" w:hAnsi="宋体" w:eastAsia="方正仿宋_GBK" w:cs="Times New Roman"/>
          <w:b/>
          <w:bCs/>
          <w:color w:val="auto"/>
          <w:kern w:val="0"/>
          <w:sz w:val="32"/>
          <w:szCs w:val="22"/>
        </w:rPr>
        <w:t>第四十二条</w:t>
      </w:r>
      <w:r>
        <w:rPr>
          <w:rFonts w:hint="eastAsia" w:ascii="宋体" w:hAnsi="宋体" w:eastAsia="方正仿宋_GBK" w:cs="Times New Roman"/>
          <w:b w:val="0"/>
          <w:bCs w:val="0"/>
          <w:color w:val="auto"/>
          <w:kern w:val="0"/>
          <w:sz w:val="32"/>
          <w:szCs w:val="22"/>
        </w:rPr>
        <w:t xml:space="preserve"> 高速公路特许经营建设项目依法实行施工许可制度。项目法人应按《公路建设市场管理办法》规定依法办理施工许可，项目在办理施工许可后，开工令由项目总监理工程师签发，作为项目建设工期计算依据。</w:t>
      </w:r>
    </w:p>
    <w:p w14:paraId="1529D836">
      <w:pPr>
        <w:spacing w:line="560" w:lineRule="exact"/>
        <w:ind w:firstLine="643" w:firstLineChars="200"/>
        <w:rPr>
          <w:rFonts w:ascii="宋体" w:hAnsi="宋体" w:eastAsia="方正仿宋_GBK" w:cs="Times New Roman"/>
          <w:b w:val="0"/>
          <w:bCs w:val="0"/>
          <w:color w:val="auto"/>
          <w:kern w:val="0"/>
          <w:sz w:val="32"/>
          <w:szCs w:val="22"/>
        </w:rPr>
      </w:pPr>
      <w:r>
        <w:rPr>
          <w:rFonts w:hint="eastAsia" w:ascii="宋体" w:hAnsi="宋体" w:eastAsia="方正仿宋_GBK" w:cs="Times New Roman"/>
          <w:b/>
          <w:bCs/>
          <w:color w:val="auto"/>
          <w:kern w:val="0"/>
          <w:sz w:val="32"/>
          <w:szCs w:val="22"/>
        </w:rPr>
        <w:t>第四十三条</w:t>
      </w:r>
      <w:r>
        <w:rPr>
          <w:rFonts w:hint="eastAsia" w:ascii="宋体" w:hAnsi="宋体" w:eastAsia="方正仿宋_GBK" w:cs="Times New Roman"/>
          <w:b w:val="0"/>
          <w:bCs w:val="0"/>
          <w:color w:val="auto"/>
          <w:kern w:val="0"/>
          <w:sz w:val="32"/>
          <w:szCs w:val="22"/>
        </w:rPr>
        <w:t xml:space="preserve"> 特许经营者或项目公司应加强项目资金管理，依法依规筹措和使用项目建设资金，及时足额支付工程款项、农民工工资</w:t>
      </w:r>
      <w:r>
        <w:rPr>
          <w:rFonts w:hint="eastAsia" w:ascii="宋体" w:hAnsi="宋体" w:eastAsia="方正仿宋_GBK" w:cs="Times New Roman"/>
          <w:b w:val="0"/>
          <w:bCs w:val="0"/>
          <w:color w:val="auto"/>
          <w:kern w:val="0"/>
          <w:sz w:val="32"/>
          <w:szCs w:val="22"/>
          <w:lang w:val="en-US" w:eastAsia="zh-CN"/>
        </w:rPr>
        <w:t>等</w:t>
      </w:r>
      <w:r>
        <w:rPr>
          <w:rFonts w:hint="eastAsia" w:ascii="宋体" w:hAnsi="宋体" w:eastAsia="方正仿宋_GBK" w:cs="Times New Roman"/>
          <w:b w:val="0"/>
          <w:bCs w:val="0"/>
          <w:color w:val="auto"/>
          <w:kern w:val="0"/>
          <w:sz w:val="32"/>
          <w:szCs w:val="22"/>
        </w:rPr>
        <w:t xml:space="preserve">，并按协议约定承担土地使用及拆迁补偿费等相关费用。 </w:t>
      </w:r>
    </w:p>
    <w:p w14:paraId="65E5E844">
      <w:pPr>
        <w:spacing w:line="560" w:lineRule="exact"/>
        <w:ind w:firstLine="643" w:firstLineChars="200"/>
        <w:rPr>
          <w:rFonts w:hint="eastAsia" w:ascii="宋体" w:hAnsi="宋体" w:eastAsia="方正仿宋_GBK" w:cs="Times New Roman"/>
          <w:kern w:val="0"/>
          <w:sz w:val="32"/>
          <w:szCs w:val="22"/>
        </w:rPr>
      </w:pPr>
      <w:r>
        <w:rPr>
          <w:rFonts w:hint="eastAsia" w:ascii="宋体" w:hAnsi="宋体" w:eastAsia="方正仿宋_GBK" w:cs="Times New Roman"/>
          <w:b/>
          <w:bCs/>
          <w:color w:val="auto"/>
          <w:kern w:val="0"/>
          <w:sz w:val="32"/>
          <w:szCs w:val="22"/>
        </w:rPr>
        <w:t>第四十四条</w:t>
      </w:r>
      <w:r>
        <w:rPr>
          <w:rFonts w:hint="eastAsia" w:ascii="宋体" w:hAnsi="宋体" w:eastAsia="方正仿宋_GBK" w:cs="Times New Roman"/>
          <w:b w:val="0"/>
          <w:bCs w:val="0"/>
          <w:color w:val="auto"/>
          <w:kern w:val="0"/>
          <w:sz w:val="32"/>
          <w:szCs w:val="22"/>
        </w:rPr>
        <w:t xml:space="preserve"> 高速公路建设项目完工后，应按规定</w:t>
      </w:r>
      <w:r>
        <w:rPr>
          <w:rFonts w:hint="eastAsia" w:ascii="宋体" w:hAnsi="宋体" w:eastAsia="方正仿宋_GBK" w:cs="Times New Roman"/>
          <w:b w:val="0"/>
          <w:bCs w:val="0"/>
          <w:color w:val="auto"/>
          <w:kern w:val="0"/>
          <w:sz w:val="32"/>
          <w:szCs w:val="22"/>
          <w:lang w:val="en-US" w:eastAsia="zh-CN"/>
        </w:rPr>
        <w:t>开展</w:t>
      </w:r>
      <w:r>
        <w:rPr>
          <w:rFonts w:hint="eastAsia" w:ascii="宋体" w:hAnsi="宋体" w:eastAsia="方正仿宋_GBK" w:cs="Times New Roman"/>
          <w:b w:val="0"/>
          <w:bCs w:val="0"/>
          <w:color w:val="auto"/>
          <w:kern w:val="0"/>
          <w:sz w:val="32"/>
          <w:szCs w:val="22"/>
        </w:rPr>
        <w:t>交</w:t>
      </w:r>
      <w:r>
        <w:rPr>
          <w:rFonts w:hint="eastAsia" w:ascii="宋体" w:hAnsi="宋体" w:eastAsia="方正仿宋_GBK" w:cs="Times New Roman"/>
          <w:kern w:val="0"/>
          <w:sz w:val="32"/>
          <w:szCs w:val="22"/>
        </w:rPr>
        <w:t>工验收。未按规定进行交工验收或交工验收不合格的，不得试运营。</w:t>
      </w:r>
    </w:p>
    <w:p w14:paraId="5495927C">
      <w:pPr>
        <w:spacing w:line="560" w:lineRule="exact"/>
        <w:ind w:firstLine="640" w:firstLineChars="200"/>
        <w:rPr>
          <w:rFonts w:ascii="宋体" w:hAnsi="宋体" w:eastAsia="方正仿宋_GBK" w:cs="Times New Roman"/>
          <w:kern w:val="0"/>
          <w:sz w:val="32"/>
          <w:szCs w:val="22"/>
          <w:highlight w:val="yellow"/>
        </w:rPr>
      </w:pPr>
      <w:r>
        <w:rPr>
          <w:rFonts w:hint="eastAsia" w:ascii="宋体" w:hAnsi="宋体" w:eastAsia="方正仿宋_GBK" w:cs="Times New Roman"/>
          <w:kern w:val="0"/>
          <w:sz w:val="32"/>
          <w:szCs w:val="22"/>
        </w:rPr>
        <w:t>试运营结束后由项目公司及时按规</w:t>
      </w:r>
      <w:r>
        <w:rPr>
          <w:rFonts w:hint="eastAsia" w:ascii="宋体" w:hAnsi="宋体" w:eastAsia="方正仿宋_GBK" w:cs="Times New Roman"/>
          <w:kern w:val="0"/>
          <w:sz w:val="32"/>
          <w:szCs w:val="22"/>
          <w:highlight w:val="none"/>
        </w:rPr>
        <w:t>定向交通运输主管部门提出竣工验收申请，交通运输主管部门按规定组织竣工验收。</w:t>
      </w:r>
    </w:p>
    <w:p w14:paraId="501B7E4D">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第四十五条</w:t>
      </w:r>
      <w:r>
        <w:rPr>
          <w:rFonts w:hint="eastAsia" w:ascii="宋体" w:hAnsi="宋体" w:eastAsia="方正仿宋_GBK" w:cs="Times New Roman"/>
          <w:kern w:val="0"/>
          <w:sz w:val="32"/>
          <w:szCs w:val="22"/>
        </w:rPr>
        <w:t xml:space="preserve"> 特许经营者或项目公司应根据有关法律、行政法规、标准规范和项目特许经营协议，对高速公路及其沿线设施进行检查、运营、维护，</w:t>
      </w:r>
      <w:r>
        <w:rPr>
          <w:rFonts w:hint="eastAsia" w:ascii="宋体" w:hAnsi="宋体" w:eastAsia="方正仿宋_GBK" w:cs="Times New Roman"/>
          <w:kern w:val="0"/>
          <w:sz w:val="32"/>
          <w:szCs w:val="22"/>
          <w:lang w:val="en-US" w:eastAsia="zh-CN"/>
        </w:rPr>
        <w:t>保障</w:t>
      </w:r>
      <w:r>
        <w:rPr>
          <w:rFonts w:hint="eastAsia" w:ascii="宋体" w:hAnsi="宋体" w:eastAsia="方正仿宋_GBK" w:cs="Times New Roman"/>
          <w:kern w:val="0"/>
          <w:sz w:val="32"/>
          <w:szCs w:val="22"/>
        </w:rPr>
        <w:t>高速公路技术</w:t>
      </w:r>
      <w:r>
        <w:rPr>
          <w:rFonts w:hint="eastAsia" w:ascii="宋体" w:hAnsi="宋体" w:eastAsia="方正仿宋_GBK" w:cs="Times New Roman"/>
          <w:kern w:val="0"/>
          <w:sz w:val="32"/>
          <w:szCs w:val="22"/>
          <w:lang w:val="en-US" w:eastAsia="zh-CN"/>
        </w:rPr>
        <w:t>状况</w:t>
      </w:r>
      <w:r>
        <w:rPr>
          <w:rFonts w:hint="eastAsia" w:ascii="宋体" w:hAnsi="宋体" w:eastAsia="方正仿宋_GBK" w:cs="Times New Roman"/>
          <w:kern w:val="0"/>
          <w:sz w:val="32"/>
          <w:szCs w:val="22"/>
        </w:rPr>
        <w:t>良好，提供安全便捷、畅通高效、绿色智能的公共服务</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rPr>
        <w:t>规范服务区运营与收费窗口设置。</w:t>
      </w:r>
    </w:p>
    <w:p w14:paraId="62B43803">
      <w:pPr>
        <w:spacing w:line="560" w:lineRule="exact"/>
        <w:ind w:firstLine="643" w:firstLineChars="200"/>
        <w:rPr>
          <w:rFonts w:ascii="宋体" w:hAnsi="宋体" w:eastAsia="方正仿宋_GBK" w:cs="Times New Roman"/>
          <w:kern w:val="0"/>
          <w:sz w:val="32"/>
          <w:szCs w:val="22"/>
          <w:highlight w:val="none"/>
        </w:rPr>
      </w:pPr>
      <w:r>
        <w:rPr>
          <w:rFonts w:hint="eastAsia" w:ascii="宋体" w:hAnsi="宋体" w:eastAsia="方正仿宋_GBK" w:cs="Times New Roman"/>
          <w:b/>
          <w:bCs/>
          <w:kern w:val="0"/>
          <w:sz w:val="32"/>
          <w:szCs w:val="22"/>
        </w:rPr>
        <w:t>第四十六条</w:t>
      </w:r>
      <w:r>
        <w:rPr>
          <w:rFonts w:hint="eastAsia" w:ascii="宋体" w:hAnsi="宋体" w:eastAsia="方正仿宋_GBK" w:cs="Times New Roman"/>
          <w:kern w:val="0"/>
          <w:sz w:val="32"/>
          <w:szCs w:val="22"/>
        </w:rPr>
        <w:t xml:space="preserve"> 鼓励特许经营者综合采取创新</w:t>
      </w:r>
      <w:r>
        <w:rPr>
          <w:rFonts w:hint="eastAsia" w:ascii="宋体" w:hAnsi="宋体" w:eastAsia="方正仿宋_GBK" w:cs="Times New Roman"/>
          <w:kern w:val="0"/>
          <w:sz w:val="32"/>
          <w:szCs w:val="22"/>
          <w:lang w:val="en-US" w:eastAsia="zh-CN"/>
        </w:rPr>
        <w:t>融合发展</w:t>
      </w:r>
      <w:r>
        <w:rPr>
          <w:rFonts w:hint="eastAsia" w:ascii="宋体" w:hAnsi="宋体" w:eastAsia="方正仿宋_GBK" w:cs="Times New Roman"/>
          <w:kern w:val="0"/>
          <w:sz w:val="32"/>
          <w:szCs w:val="22"/>
        </w:rPr>
        <w:t>模式、引入先进技术、改进管理手段等多种方式，持续提高项目运营专业化水平，合理</w:t>
      </w:r>
      <w:r>
        <w:rPr>
          <w:rFonts w:hint="eastAsia" w:ascii="宋体" w:hAnsi="宋体" w:eastAsia="方正仿宋_GBK" w:cs="Times New Roman"/>
          <w:kern w:val="0"/>
          <w:sz w:val="32"/>
          <w:szCs w:val="22"/>
          <w:lang w:eastAsia="zh-CN"/>
        </w:rPr>
        <w:t>降低</w:t>
      </w:r>
      <w:r>
        <w:rPr>
          <w:rFonts w:hint="eastAsia" w:ascii="宋体" w:hAnsi="宋体" w:eastAsia="方正仿宋_GBK" w:cs="Times New Roman"/>
          <w:kern w:val="0"/>
          <w:sz w:val="32"/>
          <w:szCs w:val="22"/>
        </w:rPr>
        <w:t>运营成本；结合项目实际情况，</w:t>
      </w:r>
      <w:r>
        <w:rPr>
          <w:rFonts w:hint="eastAsia" w:ascii="宋体" w:hAnsi="宋体" w:eastAsia="方正仿宋_GBK" w:cs="Times New Roman"/>
          <w:kern w:val="0"/>
          <w:sz w:val="32"/>
          <w:szCs w:val="22"/>
          <w:lang w:val="en-US" w:eastAsia="zh-CN"/>
        </w:rPr>
        <w:t>通过</w:t>
      </w:r>
      <w:r>
        <w:rPr>
          <w:rFonts w:hint="eastAsia" w:ascii="宋体" w:hAnsi="宋体" w:eastAsia="方正仿宋_GBK" w:cs="Times New Roman"/>
          <w:kern w:val="0"/>
          <w:sz w:val="32"/>
          <w:szCs w:val="22"/>
          <w:highlight w:val="none"/>
        </w:rPr>
        <w:t>盘活闲置低效资产等多种方式拓宽收入渠道，有效提升项目收益。</w:t>
      </w:r>
    </w:p>
    <w:p w14:paraId="4650D664">
      <w:pPr>
        <w:spacing w:line="560" w:lineRule="exact"/>
        <w:ind w:firstLine="640" w:firstLineChars="200"/>
        <w:rPr>
          <w:rFonts w:ascii="宋体" w:hAnsi="宋体" w:eastAsia="方正仿宋_GBK" w:cs="Times New Roman"/>
          <w:kern w:val="0"/>
          <w:sz w:val="32"/>
          <w:szCs w:val="22"/>
          <w:highlight w:val="none"/>
        </w:rPr>
      </w:pPr>
      <w:r>
        <w:rPr>
          <w:rFonts w:hint="eastAsia" w:ascii="宋体" w:hAnsi="宋体" w:eastAsia="方正仿宋_GBK" w:cs="Times New Roman"/>
          <w:kern w:val="0"/>
          <w:sz w:val="32"/>
          <w:szCs w:val="22"/>
          <w:highlight w:val="none"/>
        </w:rPr>
        <w:t>鼓励符合条件的特许经营高速公路项目发行基础设施REITs。</w:t>
      </w:r>
    </w:p>
    <w:p w14:paraId="194451CD">
      <w:pPr>
        <w:spacing w:line="560" w:lineRule="exact"/>
        <w:ind w:firstLine="643" w:firstLineChars="200"/>
        <w:rPr>
          <w:rFonts w:hint="eastAsia" w:ascii="宋体" w:hAnsi="宋体" w:eastAsia="方正仿宋_GBK" w:cs="方正仿宋_GBK"/>
          <w:sz w:val="32"/>
          <w:szCs w:val="32"/>
        </w:rPr>
      </w:pPr>
      <w:r>
        <w:rPr>
          <w:rFonts w:hint="eastAsia" w:ascii="宋体" w:hAnsi="宋体" w:eastAsia="方正仿宋_GBK" w:cs="Times New Roman"/>
          <w:b/>
          <w:bCs/>
          <w:kern w:val="0"/>
          <w:sz w:val="32"/>
          <w:szCs w:val="22"/>
          <w:highlight w:val="none"/>
        </w:rPr>
        <w:t>第四十</w:t>
      </w:r>
      <w:r>
        <w:rPr>
          <w:rFonts w:hint="eastAsia" w:ascii="宋体" w:hAnsi="宋体" w:eastAsia="方正仿宋_GBK" w:cs="Times New Roman"/>
          <w:b/>
          <w:bCs/>
          <w:kern w:val="0"/>
          <w:sz w:val="32"/>
          <w:szCs w:val="22"/>
          <w:highlight w:val="none"/>
          <w:lang w:eastAsia="zh-CN"/>
        </w:rPr>
        <w:t>七</w:t>
      </w:r>
      <w:r>
        <w:rPr>
          <w:rFonts w:hint="eastAsia" w:ascii="宋体" w:hAnsi="宋体" w:eastAsia="方正仿宋_GBK" w:cs="Times New Roman"/>
          <w:b/>
          <w:bCs/>
          <w:kern w:val="0"/>
          <w:sz w:val="32"/>
          <w:szCs w:val="22"/>
          <w:highlight w:val="none"/>
        </w:rPr>
        <w:t>条</w:t>
      </w:r>
      <w:r>
        <w:rPr>
          <w:rFonts w:hint="eastAsia" w:ascii="宋体" w:hAnsi="宋体" w:eastAsia="方正仿宋_GBK" w:cs="Times New Roman"/>
          <w:kern w:val="0"/>
          <w:sz w:val="32"/>
          <w:szCs w:val="22"/>
          <w:highlight w:val="none"/>
        </w:rPr>
        <w:t xml:space="preserve"> 特许经营者或项目公司应</w:t>
      </w:r>
      <w:r>
        <w:rPr>
          <w:rFonts w:hint="eastAsia" w:ascii="宋体" w:hAnsi="宋体" w:eastAsia="方正仿宋_GBK" w:cs="Times New Roman"/>
          <w:color w:val="auto"/>
          <w:kern w:val="0"/>
          <w:sz w:val="32"/>
          <w:szCs w:val="22"/>
          <w:highlight w:val="none"/>
        </w:rPr>
        <w:t>严格执行高速公路建设和养护标准</w:t>
      </w:r>
      <w:r>
        <w:rPr>
          <w:rFonts w:hint="eastAsia" w:ascii="宋体" w:hAnsi="宋体" w:eastAsia="方正仿宋_GBK" w:cs="Times New Roman"/>
          <w:kern w:val="0"/>
          <w:sz w:val="32"/>
          <w:szCs w:val="22"/>
          <w:highlight w:val="none"/>
        </w:rPr>
        <w:t>，控制项目建设和养护成本，特许经营协议中对建设和养护成本有要</w:t>
      </w:r>
      <w:r>
        <w:rPr>
          <w:rFonts w:hint="eastAsia" w:ascii="宋体" w:hAnsi="宋体" w:eastAsia="方正仿宋_GBK" w:cs="Times New Roman"/>
          <w:kern w:val="0"/>
          <w:sz w:val="32"/>
          <w:szCs w:val="22"/>
        </w:rPr>
        <w:t>求的，特许经营者或项目公司支付的建设和养护成本高于约定</w:t>
      </w:r>
      <w:r>
        <w:rPr>
          <w:rFonts w:hint="eastAsia" w:ascii="宋体" w:hAnsi="宋体" w:eastAsia="方正仿宋_GBK" w:cs="Times New Roman"/>
          <w:kern w:val="0"/>
          <w:sz w:val="32"/>
          <w:szCs w:val="22"/>
          <w:lang w:eastAsia="zh-CN"/>
        </w:rPr>
        <w:t>的</w:t>
      </w:r>
      <w:r>
        <w:rPr>
          <w:rFonts w:hint="eastAsia" w:ascii="宋体" w:hAnsi="宋体" w:eastAsia="方正仿宋_GBK" w:cs="Times New Roman"/>
          <w:kern w:val="0"/>
          <w:sz w:val="32"/>
          <w:szCs w:val="22"/>
        </w:rPr>
        <w:t>，超出部分不纳入超额收益计算及收费标准、期限调整的评估范围。</w:t>
      </w:r>
    </w:p>
    <w:p w14:paraId="2AA9BA85">
      <w:pPr>
        <w:spacing w:line="560" w:lineRule="exact"/>
        <w:ind w:firstLine="643" w:firstLineChars="200"/>
        <w:rPr>
          <w:rFonts w:hint="eastAsia" w:ascii="宋体" w:hAnsi="宋体" w:eastAsia="方正仿宋_GBK" w:cs="Times New Roman"/>
          <w:kern w:val="0"/>
          <w:sz w:val="32"/>
          <w:szCs w:val="22"/>
          <w:lang w:eastAsia="zh-CN"/>
        </w:rPr>
      </w:pPr>
      <w:r>
        <w:rPr>
          <w:rFonts w:hint="eastAsia" w:ascii="宋体" w:hAnsi="宋体" w:eastAsia="方正仿宋_GBK" w:cs="Times New Roman"/>
          <w:b/>
          <w:bCs/>
          <w:kern w:val="0"/>
          <w:sz w:val="32"/>
          <w:szCs w:val="22"/>
        </w:rPr>
        <w:t>第四十</w:t>
      </w:r>
      <w:r>
        <w:rPr>
          <w:rFonts w:hint="eastAsia" w:ascii="宋体" w:hAnsi="宋体" w:eastAsia="方正仿宋_GBK" w:cs="Times New Roman"/>
          <w:b/>
          <w:bCs/>
          <w:kern w:val="0"/>
          <w:sz w:val="32"/>
          <w:szCs w:val="22"/>
          <w:lang w:eastAsia="zh-CN"/>
        </w:rPr>
        <w:t>八</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项目实施机构应根据相关规定对项目建设</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rPr>
        <w:t>运营</w:t>
      </w:r>
      <w:r>
        <w:rPr>
          <w:rFonts w:hint="eastAsia" w:ascii="宋体" w:hAnsi="宋体" w:eastAsia="方正仿宋_GBK" w:cs="Times New Roman"/>
          <w:kern w:val="0"/>
          <w:sz w:val="32"/>
          <w:szCs w:val="22"/>
          <w:lang w:val="en-US" w:eastAsia="zh-CN"/>
        </w:rPr>
        <w:t>等</w:t>
      </w:r>
      <w:r>
        <w:rPr>
          <w:rFonts w:hint="eastAsia" w:ascii="宋体" w:hAnsi="宋体" w:eastAsia="方正仿宋_GBK" w:cs="Times New Roman"/>
          <w:kern w:val="0"/>
          <w:sz w:val="32"/>
          <w:szCs w:val="22"/>
        </w:rPr>
        <w:t>情况进行监测分析，定期开展运营评价；政府给予财政资金支持的</w:t>
      </w:r>
      <w:r>
        <w:rPr>
          <w:rFonts w:hint="eastAsia" w:ascii="宋体" w:hAnsi="宋体" w:eastAsia="方正仿宋_GBK" w:cs="Times New Roman"/>
          <w:kern w:val="0"/>
          <w:sz w:val="32"/>
          <w:szCs w:val="22"/>
          <w:lang w:val="en-US" w:eastAsia="zh-CN"/>
        </w:rPr>
        <w:t>应按照绩效管理相关规定</w:t>
      </w:r>
      <w:r>
        <w:rPr>
          <w:rFonts w:hint="eastAsia" w:ascii="宋体" w:hAnsi="宋体" w:eastAsia="方正仿宋_GBK" w:cs="Times New Roman"/>
          <w:kern w:val="0"/>
          <w:sz w:val="32"/>
          <w:szCs w:val="22"/>
        </w:rPr>
        <w:t>开展</w:t>
      </w:r>
      <w:r>
        <w:rPr>
          <w:rFonts w:hint="eastAsia" w:ascii="宋体" w:hAnsi="宋体" w:eastAsia="方正仿宋_GBK" w:cs="Times New Roman"/>
          <w:kern w:val="0"/>
          <w:sz w:val="32"/>
          <w:szCs w:val="22"/>
          <w:lang w:val="en-US" w:eastAsia="zh-CN"/>
        </w:rPr>
        <w:t>建设和运营全过程</w:t>
      </w:r>
      <w:r>
        <w:rPr>
          <w:rFonts w:hint="eastAsia" w:ascii="宋体" w:hAnsi="宋体" w:eastAsia="方正仿宋_GBK" w:cs="Times New Roman"/>
          <w:kern w:val="0"/>
          <w:sz w:val="32"/>
          <w:szCs w:val="22"/>
        </w:rPr>
        <w:t>绩效评价</w:t>
      </w:r>
      <w:r>
        <w:rPr>
          <w:rFonts w:hint="eastAsia" w:ascii="宋体" w:hAnsi="宋体" w:eastAsia="方正仿宋_GBK" w:cs="Times New Roman"/>
          <w:kern w:val="0"/>
          <w:sz w:val="32"/>
          <w:szCs w:val="22"/>
          <w:lang w:val="en-US" w:eastAsia="zh-CN"/>
        </w:rPr>
        <w:t>和评估</w:t>
      </w:r>
      <w:r>
        <w:rPr>
          <w:rFonts w:hint="eastAsia" w:ascii="宋体" w:hAnsi="宋体" w:eastAsia="方正仿宋_GBK" w:cs="Times New Roman"/>
          <w:kern w:val="0"/>
          <w:sz w:val="32"/>
          <w:szCs w:val="22"/>
        </w:rPr>
        <w:t>，切实保障公共服务质量和效率。</w:t>
      </w:r>
      <w:r>
        <w:rPr>
          <w:rFonts w:hint="eastAsia" w:ascii="宋体" w:hAnsi="宋体" w:eastAsia="方正仿宋_GBK" w:cs="Times New Roman"/>
          <w:kern w:val="0"/>
          <w:sz w:val="32"/>
          <w:szCs w:val="22"/>
          <w:lang w:eastAsia="zh-CN"/>
        </w:rPr>
        <w:t>运营评价和绩效评价结果</w:t>
      </w:r>
      <w:r>
        <w:rPr>
          <w:rFonts w:hint="eastAsia" w:ascii="宋体" w:hAnsi="宋体" w:eastAsia="方正仿宋_GBK" w:cs="Times New Roman"/>
          <w:kern w:val="0"/>
          <w:sz w:val="32"/>
          <w:szCs w:val="22"/>
          <w:lang w:val="en-US" w:eastAsia="zh-CN"/>
        </w:rPr>
        <w:t>按照相关</w:t>
      </w:r>
      <w:r>
        <w:rPr>
          <w:rFonts w:hint="eastAsia" w:ascii="宋体" w:hAnsi="宋体" w:eastAsia="方正仿宋_GBK" w:cs="Times New Roman"/>
          <w:kern w:val="0"/>
          <w:sz w:val="32"/>
          <w:szCs w:val="22"/>
          <w:lang w:eastAsia="zh-CN"/>
        </w:rPr>
        <w:t>规定或协议约定</w:t>
      </w:r>
      <w:r>
        <w:rPr>
          <w:rFonts w:hint="eastAsia" w:ascii="宋体" w:hAnsi="宋体" w:eastAsia="方正仿宋_GBK" w:cs="Times New Roman"/>
          <w:kern w:val="0"/>
          <w:sz w:val="32"/>
          <w:szCs w:val="22"/>
          <w:lang w:val="en-US" w:eastAsia="zh-CN"/>
        </w:rPr>
        <w:t>进行应用</w:t>
      </w:r>
      <w:r>
        <w:rPr>
          <w:rFonts w:hint="eastAsia" w:ascii="宋体" w:hAnsi="宋体" w:eastAsia="方正仿宋_GBK" w:cs="Times New Roman"/>
          <w:kern w:val="0"/>
          <w:sz w:val="32"/>
          <w:szCs w:val="22"/>
          <w:lang w:eastAsia="zh-CN"/>
        </w:rPr>
        <w:t>。</w:t>
      </w:r>
    </w:p>
    <w:p w14:paraId="5A59B510">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w:t>
      </w:r>
      <w:r>
        <w:rPr>
          <w:rFonts w:hint="eastAsia" w:ascii="宋体" w:hAnsi="宋体" w:eastAsia="方正仿宋_GBK" w:cs="Times New Roman"/>
          <w:b/>
          <w:bCs/>
          <w:kern w:val="0"/>
          <w:sz w:val="32"/>
          <w:szCs w:val="22"/>
          <w:lang w:eastAsia="zh-CN"/>
        </w:rPr>
        <w:t>四</w:t>
      </w:r>
      <w:r>
        <w:rPr>
          <w:rFonts w:hint="eastAsia" w:ascii="宋体" w:hAnsi="宋体" w:eastAsia="方正仿宋_GBK" w:cs="Times New Roman"/>
          <w:b/>
          <w:bCs/>
          <w:kern w:val="0"/>
          <w:sz w:val="32"/>
          <w:szCs w:val="22"/>
        </w:rPr>
        <w:t>十</w:t>
      </w:r>
      <w:r>
        <w:rPr>
          <w:rFonts w:hint="eastAsia" w:ascii="宋体" w:hAnsi="宋体" w:eastAsia="方正仿宋_GBK" w:cs="Times New Roman"/>
          <w:b/>
          <w:bCs/>
          <w:kern w:val="0"/>
          <w:sz w:val="32"/>
          <w:szCs w:val="22"/>
          <w:lang w:eastAsia="zh-CN"/>
        </w:rPr>
        <w:t>九</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项目实施机构应当将特许经营方案、特许经营者选择结果、特许经营协议主要内容及其变更或终止、政府投资支持、公共产品或服务标准、监测分析和运营评价结果等信息，依托全国投资项目在线审批监管平台，及时向社会公开。</w:t>
      </w:r>
    </w:p>
    <w:p w14:paraId="7AA6BA3A">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特许经营者或项目公司应当将项目每季度建设运营情况、质量安全、经审计的年度财务报表等信息，通过适当方式向社会公开，并依法接受年度财务审计。</w:t>
      </w:r>
    </w:p>
    <w:p w14:paraId="64F53CA4">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第五十条</w:t>
      </w:r>
      <w:r>
        <w:rPr>
          <w:rFonts w:hint="eastAsia" w:ascii="宋体" w:hAnsi="宋体" w:eastAsia="方正仿宋_GBK" w:cs="Times New Roman"/>
          <w:kern w:val="0"/>
          <w:sz w:val="32"/>
          <w:szCs w:val="22"/>
        </w:rPr>
        <w:t xml:space="preserve"> 在项目特许经营协议有效期内，协议内容确需变更的，应当在协商一致的基础上签订补充协议。高速公路特许经营项目涉及运营主体实质性变更、股权移交等重大事项的，项目实施机构应当在 30 日内将具体情况书面告知省级交通运输行业主管部门，并在全国政府和社会资本合作项目信息系统中更新相关信息。</w:t>
      </w:r>
    </w:p>
    <w:p w14:paraId="704AC07F">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第五十</w:t>
      </w:r>
      <w:r>
        <w:rPr>
          <w:rFonts w:hint="eastAsia" w:ascii="宋体" w:hAnsi="宋体" w:eastAsia="方正仿宋_GBK" w:cs="Times New Roman"/>
          <w:b/>
          <w:bCs/>
          <w:kern w:val="0"/>
          <w:sz w:val="32"/>
          <w:szCs w:val="22"/>
          <w:lang w:eastAsia="zh-CN"/>
        </w:rPr>
        <w:t>一</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在特许经营期限内，因项目特许经营协议一方严重违约或不可抗力等原因，导致无法继续履行协议约定义务，或者出现特许经营协议约定提前终止情形的，在与债权人协商一致后，可以提前终止协议。</w:t>
      </w:r>
    </w:p>
    <w:p w14:paraId="56249DAD">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因政府方原因导致特许经营协议提前终止的，政府应当收回特许经营项目，并根据实际情况和协议约定给予原特许经营者公平合理补偿。</w:t>
      </w:r>
    </w:p>
    <w:p w14:paraId="0FFE0708">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因特许经营者原因导致特许经营协议提前终止的，特许经营者应当按照特许经营协议约定履行有关资产移交、债务清偿、违约赔偿责任，并纳入社会信用管理。特许经营者及项目公司在清算移交期间配合政府维持项目通行服务的持续性和稳定性。</w:t>
      </w:r>
    </w:p>
    <w:p w14:paraId="0A85A8B8">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第五十</w:t>
      </w:r>
      <w:r>
        <w:rPr>
          <w:rFonts w:hint="eastAsia" w:ascii="宋体" w:hAnsi="宋体" w:eastAsia="方正仿宋_GBK" w:cs="Times New Roman"/>
          <w:b/>
          <w:bCs/>
          <w:kern w:val="0"/>
          <w:sz w:val="32"/>
          <w:szCs w:val="22"/>
          <w:lang w:eastAsia="zh-CN"/>
        </w:rPr>
        <w:t>二</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特许经营期限届满或特许经营协议提前终止的，应依据相关法律法规并按协议约定做好移交工作。</w:t>
      </w:r>
    </w:p>
    <w:p w14:paraId="513DE6AF">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严禁以提前终止为由将特许经营转变为通过建设——移交（BT）</w:t>
      </w:r>
      <w:r>
        <w:rPr>
          <w:rFonts w:hint="eastAsia" w:ascii="宋体" w:hAnsi="宋体" w:eastAsia="方正仿宋_GBK" w:cs="Times New Roman"/>
          <w:kern w:val="0"/>
          <w:sz w:val="32"/>
          <w:szCs w:val="22"/>
          <w:lang w:val="en-US" w:eastAsia="zh-CN"/>
        </w:rPr>
        <w:t>等</w:t>
      </w:r>
      <w:r>
        <w:rPr>
          <w:rFonts w:hint="eastAsia" w:ascii="宋体" w:hAnsi="宋体" w:eastAsia="方正仿宋_GBK" w:cs="Times New Roman"/>
          <w:kern w:val="0"/>
          <w:sz w:val="32"/>
          <w:szCs w:val="22"/>
        </w:rPr>
        <w:t>模式变相举债。</w:t>
      </w:r>
    </w:p>
    <w:p w14:paraId="1EA07B1D">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提前终止的项目，政府要选择优质企业接续实施，防止项目停摆烂尾，严防公共服务供给断档。要加强政策宣传解读，及时回应社会关切。</w:t>
      </w:r>
    </w:p>
    <w:p w14:paraId="509FFFFD">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第五十</w:t>
      </w:r>
      <w:r>
        <w:rPr>
          <w:rFonts w:hint="eastAsia" w:ascii="宋体" w:hAnsi="宋体" w:eastAsia="方正仿宋_GBK" w:cs="Times New Roman"/>
          <w:b/>
          <w:bCs/>
          <w:kern w:val="0"/>
          <w:sz w:val="32"/>
          <w:szCs w:val="22"/>
          <w:lang w:eastAsia="zh-CN"/>
        </w:rPr>
        <w:t>三</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社会公众有权对高速公路特许经营项目的建设运营养护和服务质量进行监督。发现项目公司存在违法违规行为、提供的服务未达到约定标准或者存在侵犯公众其他合法权益行为时，社会公众可以向项目公司提出意见，项目公司应当及时予以改正。项目公司未在合理期限内予以改正的，社会公众有权向省交通运输</w:t>
      </w:r>
      <w:r>
        <w:rPr>
          <w:rFonts w:hint="eastAsia" w:ascii="宋体" w:hAnsi="宋体" w:eastAsia="方正仿宋_GBK" w:cs="Times New Roman"/>
          <w:kern w:val="0"/>
          <w:sz w:val="32"/>
          <w:szCs w:val="22"/>
          <w:lang w:val="en-US" w:eastAsia="zh-CN"/>
        </w:rPr>
        <w:t>主管部门</w:t>
      </w:r>
      <w:r>
        <w:rPr>
          <w:rFonts w:hint="eastAsia" w:ascii="宋体" w:hAnsi="宋体" w:eastAsia="方正仿宋_GBK" w:cs="Times New Roman"/>
          <w:kern w:val="0"/>
          <w:sz w:val="32"/>
          <w:szCs w:val="22"/>
        </w:rPr>
        <w:t>投诉。</w:t>
      </w:r>
    </w:p>
    <w:p w14:paraId="0E85AD36">
      <w:pPr>
        <w:widowControl/>
        <w:snapToGrid w:val="0"/>
        <w:spacing w:line="600" w:lineRule="exact"/>
        <w:jc w:val="center"/>
        <w:rPr>
          <w:rFonts w:ascii="黑体" w:hAnsi="黑体" w:eastAsia="黑体" w:cs="Times New Roman"/>
          <w:b/>
          <w:kern w:val="0"/>
          <w:sz w:val="32"/>
          <w:szCs w:val="21"/>
        </w:rPr>
      </w:pPr>
      <w:r>
        <w:rPr>
          <w:rFonts w:hint="eastAsia" w:ascii="黑体" w:hAnsi="黑体" w:eastAsia="黑体" w:cs="Times New Roman"/>
          <w:b/>
          <w:kern w:val="0"/>
          <w:sz w:val="32"/>
          <w:szCs w:val="21"/>
        </w:rPr>
        <w:t>第</w:t>
      </w:r>
      <w:r>
        <w:rPr>
          <w:rFonts w:hint="eastAsia" w:ascii="黑体" w:hAnsi="黑体" w:eastAsia="黑体" w:cs="Times New Roman"/>
          <w:b/>
          <w:kern w:val="0"/>
          <w:sz w:val="32"/>
          <w:szCs w:val="21"/>
          <w:lang w:eastAsia="zh-CN"/>
        </w:rPr>
        <w:t>六</w:t>
      </w:r>
      <w:r>
        <w:rPr>
          <w:rFonts w:hint="eastAsia" w:ascii="黑体" w:hAnsi="黑体" w:eastAsia="黑体" w:cs="Times New Roman"/>
          <w:b/>
          <w:kern w:val="0"/>
          <w:sz w:val="32"/>
          <w:szCs w:val="21"/>
        </w:rPr>
        <w:t>章 项目移交</w:t>
      </w:r>
    </w:p>
    <w:p w14:paraId="096C7E49">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第五十</w:t>
      </w:r>
      <w:r>
        <w:rPr>
          <w:rFonts w:hint="eastAsia" w:ascii="宋体" w:hAnsi="宋体" w:eastAsia="方正仿宋_GBK" w:cs="Times New Roman"/>
          <w:b/>
          <w:bCs/>
          <w:kern w:val="0"/>
          <w:sz w:val="32"/>
          <w:szCs w:val="22"/>
          <w:lang w:val="en-US" w:eastAsia="zh-CN"/>
        </w:rPr>
        <w:t>四</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项目移交过渡期为特许经营期届满前 2 年，政府有关部门或项目实施机构和特许经营者或项目公司应当联合组建项目移交委员会，研究制定项目移交方案</w:t>
      </w:r>
      <w:r>
        <w:rPr>
          <w:rFonts w:hint="eastAsia" w:ascii="宋体" w:hAnsi="宋体" w:eastAsia="方正仿宋_GBK" w:cs="方正仿宋_GBK"/>
          <w:sz w:val="32"/>
          <w:szCs w:val="32"/>
        </w:rPr>
        <w:t>（含资产明细、人员、程序等），</w:t>
      </w:r>
      <w:r>
        <w:rPr>
          <w:rFonts w:hint="eastAsia" w:ascii="宋体" w:hAnsi="宋体" w:eastAsia="方正仿宋_GBK" w:cs="Times New Roman"/>
          <w:kern w:val="0"/>
          <w:sz w:val="32"/>
          <w:szCs w:val="22"/>
        </w:rPr>
        <w:t>共同做好项目移交过渡期的相关工作。</w:t>
      </w:r>
    </w:p>
    <w:p w14:paraId="21DE5200">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移交过渡期内涉及项目的对外投资、资产处置、资金调度等重大经营、财务决策应向项目实施机构报备。</w:t>
      </w:r>
    </w:p>
    <w:p w14:paraId="1E487FD4">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第五十</w:t>
      </w:r>
      <w:r>
        <w:rPr>
          <w:rFonts w:hint="eastAsia" w:ascii="宋体" w:hAnsi="宋体" w:eastAsia="方正仿宋_GBK" w:cs="Times New Roman"/>
          <w:b/>
          <w:bCs/>
          <w:kern w:val="0"/>
          <w:sz w:val="32"/>
          <w:szCs w:val="22"/>
          <w:lang w:val="en-US" w:eastAsia="zh-CN"/>
        </w:rPr>
        <w:t>五</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特许经营期满前6个月，</w:t>
      </w:r>
      <w:r>
        <w:rPr>
          <w:rFonts w:hint="eastAsia" w:ascii="宋体" w:hAnsi="宋体" w:eastAsia="方正仿宋_GBK" w:cs="Times New Roman"/>
          <w:kern w:val="0"/>
          <w:sz w:val="32"/>
          <w:szCs w:val="22"/>
          <w:highlight w:val="none"/>
        </w:rPr>
        <w:t>项目收费审批机构</w:t>
      </w:r>
      <w:r>
        <w:rPr>
          <w:rFonts w:hint="eastAsia" w:ascii="宋体" w:hAnsi="宋体" w:eastAsia="方正仿宋_GBK" w:cs="Times New Roman"/>
          <w:kern w:val="0"/>
          <w:sz w:val="32"/>
          <w:szCs w:val="22"/>
          <w:highlight w:val="none"/>
          <w:lang w:val="en-US" w:eastAsia="zh-CN"/>
        </w:rPr>
        <w:t>按</w:t>
      </w:r>
      <w:r>
        <w:rPr>
          <w:rFonts w:hint="eastAsia" w:ascii="宋体" w:hAnsi="宋体" w:eastAsia="方正仿宋_GBK" w:cs="方正仿宋_GBK"/>
          <w:sz w:val="32"/>
          <w:szCs w:val="32"/>
          <w:highlight w:val="none"/>
        </w:rPr>
        <w:t>《公路工程质量检验评定标准》</w:t>
      </w:r>
      <w:r>
        <w:rPr>
          <w:rFonts w:hint="eastAsia" w:ascii="宋体" w:hAnsi="宋体" w:eastAsia="方正仿宋_GBK" w:cs="Times New Roman"/>
          <w:kern w:val="0"/>
          <w:sz w:val="32"/>
          <w:szCs w:val="22"/>
          <w:highlight w:val="none"/>
          <w:lang w:val="en-US" w:eastAsia="zh-CN"/>
        </w:rPr>
        <w:t>开展</w:t>
      </w:r>
      <w:r>
        <w:rPr>
          <w:rFonts w:hint="eastAsia" w:ascii="宋体" w:hAnsi="宋体" w:eastAsia="方正仿宋_GBK" w:cs="Times New Roman"/>
          <w:kern w:val="0"/>
          <w:sz w:val="32"/>
          <w:szCs w:val="22"/>
          <w:highlight w:val="none"/>
        </w:rPr>
        <w:t>鉴定和验收。</w:t>
      </w:r>
      <w:r>
        <w:rPr>
          <w:rFonts w:hint="eastAsia" w:ascii="宋体" w:hAnsi="宋体" w:eastAsia="方正仿宋_GBK" w:cs="Times New Roman"/>
          <w:kern w:val="0"/>
          <w:sz w:val="32"/>
          <w:szCs w:val="22"/>
        </w:rPr>
        <w:t>经鉴定和验收，高速公路符合取得高速公路权益时核定的技术等级和标准的，特许经营者或项目公司方可按照国家有关规定向交通运输主管部门办理公路移交手续；不符合取得高速公路权益时核定的技术等级和标准的，特许经营者或项目公司应当在交通运输主管部门确定的期限内进行维修养护</w:t>
      </w:r>
      <w:r>
        <w:rPr>
          <w:rFonts w:hint="eastAsia" w:ascii="宋体" w:hAnsi="宋体" w:eastAsia="方正仿宋_GBK" w:cs="Times New Roman"/>
          <w:kern w:val="0"/>
          <w:sz w:val="32"/>
          <w:szCs w:val="22"/>
          <w:lang w:eastAsia="zh-CN"/>
        </w:rPr>
        <w:t>、</w:t>
      </w:r>
      <w:r>
        <w:rPr>
          <w:rFonts w:hint="eastAsia" w:ascii="宋体" w:hAnsi="宋体" w:eastAsia="方正仿宋_GBK" w:cs="Times New Roman"/>
          <w:kern w:val="0"/>
          <w:sz w:val="32"/>
          <w:szCs w:val="22"/>
          <w:lang w:val="en-US" w:eastAsia="zh-CN"/>
        </w:rPr>
        <w:t>整改</w:t>
      </w:r>
      <w:r>
        <w:rPr>
          <w:rFonts w:hint="eastAsia" w:ascii="宋体" w:hAnsi="宋体" w:eastAsia="方正仿宋_GBK" w:cs="Times New Roman"/>
          <w:kern w:val="0"/>
          <w:sz w:val="32"/>
          <w:szCs w:val="22"/>
        </w:rPr>
        <w:t>，达到要求后，方可按照规定办理公路移交手续。</w:t>
      </w:r>
    </w:p>
    <w:p w14:paraId="5F153E78">
      <w:pPr>
        <w:spacing w:line="560" w:lineRule="exact"/>
        <w:ind w:firstLine="640" w:firstLineChars="200"/>
        <w:rPr>
          <w:rFonts w:ascii="宋体" w:hAnsi="宋体" w:eastAsia="方正仿宋_GBK" w:cs="Times New Roman"/>
          <w:kern w:val="0"/>
          <w:sz w:val="32"/>
          <w:szCs w:val="22"/>
        </w:rPr>
      </w:pPr>
      <w:r>
        <w:rPr>
          <w:rFonts w:hint="eastAsia" w:ascii="宋体" w:hAnsi="宋体" w:eastAsia="方正仿宋_GBK" w:cs="Times New Roman"/>
          <w:kern w:val="0"/>
          <w:sz w:val="32"/>
          <w:szCs w:val="22"/>
        </w:rPr>
        <w:t>正式移交前，除项目实施机构同意保留外，特许经营者或项目公司作为债务人应清偿与项目有关的所有债务，并负责解除以项目相关资产或财产权设立的抵押、质押或其他担保，依法妥善安置项目移交涉及的员工。</w:t>
      </w:r>
    </w:p>
    <w:p w14:paraId="378361B5">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第五十</w:t>
      </w:r>
      <w:r>
        <w:rPr>
          <w:rFonts w:hint="eastAsia" w:ascii="宋体" w:hAnsi="宋体" w:eastAsia="方正仿宋_GBK" w:cs="Times New Roman"/>
          <w:b/>
          <w:bCs/>
          <w:kern w:val="0"/>
          <w:sz w:val="32"/>
          <w:szCs w:val="22"/>
          <w:lang w:val="en-US" w:eastAsia="zh-CN"/>
        </w:rPr>
        <w:t>六</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项目移交过程中涉及资产权属变更登记的，特许经营者或项目公司应积极配合办理相关变更手续。</w:t>
      </w:r>
    </w:p>
    <w:p w14:paraId="4A285F95">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w:t>
      </w:r>
      <w:r>
        <w:rPr>
          <w:rFonts w:hint="eastAsia" w:ascii="宋体" w:hAnsi="宋体" w:eastAsia="方正仿宋_GBK" w:cs="Times New Roman"/>
          <w:b/>
          <w:bCs/>
          <w:kern w:val="0"/>
          <w:sz w:val="32"/>
          <w:szCs w:val="22"/>
          <w:lang w:eastAsia="zh-CN"/>
        </w:rPr>
        <w:t>五</w:t>
      </w:r>
      <w:r>
        <w:rPr>
          <w:rFonts w:hint="eastAsia" w:ascii="宋体" w:hAnsi="宋体" w:eastAsia="方正仿宋_GBK" w:cs="Times New Roman"/>
          <w:b/>
          <w:bCs/>
          <w:kern w:val="0"/>
          <w:sz w:val="32"/>
          <w:szCs w:val="22"/>
        </w:rPr>
        <w:t>十</w:t>
      </w:r>
      <w:r>
        <w:rPr>
          <w:rFonts w:hint="eastAsia" w:ascii="宋体" w:hAnsi="宋体" w:eastAsia="方正仿宋_GBK" w:cs="Times New Roman"/>
          <w:b/>
          <w:bCs/>
          <w:kern w:val="0"/>
          <w:sz w:val="32"/>
          <w:szCs w:val="22"/>
          <w:lang w:val="en-US" w:eastAsia="zh-CN"/>
        </w:rPr>
        <w:t>七</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项目移交完成后，交通运输主管部门应会同政府有关部门评估项目运行养护状况、成本效益、监管成效等。</w:t>
      </w:r>
    </w:p>
    <w:p w14:paraId="3A791D5D">
      <w:pPr>
        <w:widowControl/>
        <w:snapToGrid w:val="0"/>
        <w:spacing w:line="600" w:lineRule="exact"/>
        <w:jc w:val="center"/>
        <w:rPr>
          <w:rFonts w:ascii="黑体" w:hAnsi="黑体" w:eastAsia="黑体" w:cs="Times New Roman"/>
          <w:b/>
          <w:kern w:val="0"/>
          <w:sz w:val="32"/>
          <w:szCs w:val="21"/>
        </w:rPr>
      </w:pPr>
      <w:r>
        <w:rPr>
          <w:rFonts w:hint="eastAsia" w:ascii="黑体" w:hAnsi="黑体" w:eastAsia="黑体" w:cs="Times New Roman"/>
          <w:b/>
          <w:kern w:val="0"/>
          <w:sz w:val="32"/>
          <w:szCs w:val="21"/>
        </w:rPr>
        <w:t>第</w:t>
      </w:r>
      <w:r>
        <w:rPr>
          <w:rFonts w:hint="eastAsia" w:ascii="黑体" w:hAnsi="黑体" w:eastAsia="黑体" w:cs="Times New Roman"/>
          <w:b/>
          <w:kern w:val="0"/>
          <w:sz w:val="32"/>
          <w:szCs w:val="21"/>
          <w:lang w:eastAsia="zh-CN"/>
        </w:rPr>
        <w:t>七</w:t>
      </w:r>
      <w:r>
        <w:rPr>
          <w:rFonts w:hint="eastAsia" w:ascii="黑体" w:hAnsi="黑体" w:eastAsia="黑体" w:cs="Times New Roman"/>
          <w:b/>
          <w:kern w:val="0"/>
          <w:sz w:val="32"/>
          <w:szCs w:val="21"/>
        </w:rPr>
        <w:t>章 附则</w:t>
      </w:r>
    </w:p>
    <w:p w14:paraId="3C008234">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w:t>
      </w:r>
      <w:r>
        <w:rPr>
          <w:rFonts w:hint="eastAsia" w:ascii="宋体" w:hAnsi="宋体" w:eastAsia="方正仿宋_GBK" w:cs="Times New Roman"/>
          <w:b/>
          <w:bCs/>
          <w:kern w:val="0"/>
          <w:sz w:val="32"/>
          <w:szCs w:val="22"/>
          <w:lang w:eastAsia="zh-CN"/>
        </w:rPr>
        <w:t>五</w:t>
      </w:r>
      <w:r>
        <w:rPr>
          <w:rFonts w:hint="eastAsia" w:ascii="宋体" w:hAnsi="宋体" w:eastAsia="方正仿宋_GBK" w:cs="Times New Roman"/>
          <w:b/>
          <w:bCs/>
          <w:kern w:val="0"/>
          <w:sz w:val="32"/>
          <w:szCs w:val="22"/>
        </w:rPr>
        <w:t>十</w:t>
      </w:r>
      <w:r>
        <w:rPr>
          <w:rFonts w:hint="eastAsia" w:ascii="宋体" w:hAnsi="宋体" w:eastAsia="方正仿宋_GBK" w:cs="Times New Roman"/>
          <w:b/>
          <w:bCs/>
          <w:kern w:val="0"/>
          <w:sz w:val="32"/>
          <w:szCs w:val="22"/>
          <w:lang w:val="en-US" w:eastAsia="zh-CN"/>
        </w:rPr>
        <w:t>八</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本办法由省交通运输厅会同</w:t>
      </w:r>
      <w:r>
        <w:rPr>
          <w:rFonts w:hint="eastAsia" w:ascii="宋体" w:hAnsi="宋体" w:eastAsia="方正仿宋_GBK" w:cs="Times New Roman"/>
          <w:kern w:val="0"/>
          <w:sz w:val="32"/>
          <w:szCs w:val="22"/>
          <w:lang w:val="en-US" w:eastAsia="zh-CN"/>
        </w:rPr>
        <w:t>有关部门</w:t>
      </w:r>
      <w:r>
        <w:rPr>
          <w:rFonts w:hint="eastAsia" w:ascii="宋体" w:hAnsi="宋体" w:eastAsia="方正仿宋_GBK" w:cs="Times New Roman"/>
          <w:kern w:val="0"/>
          <w:sz w:val="32"/>
          <w:szCs w:val="22"/>
        </w:rPr>
        <w:t>负责解释。</w:t>
      </w:r>
    </w:p>
    <w:p w14:paraId="535A1F51">
      <w:pPr>
        <w:spacing w:line="560" w:lineRule="exact"/>
        <w:ind w:firstLine="643" w:firstLineChars="200"/>
        <w:rPr>
          <w:rFonts w:ascii="宋体" w:hAnsi="宋体" w:eastAsia="方正仿宋_GBK" w:cs="Times New Roman"/>
          <w:kern w:val="0"/>
          <w:sz w:val="32"/>
          <w:szCs w:val="22"/>
        </w:rPr>
      </w:pPr>
      <w:r>
        <w:rPr>
          <w:rFonts w:hint="eastAsia" w:ascii="宋体" w:hAnsi="宋体" w:eastAsia="方正仿宋_GBK" w:cs="Times New Roman"/>
          <w:b/>
          <w:bCs/>
          <w:kern w:val="0"/>
          <w:sz w:val="32"/>
          <w:szCs w:val="22"/>
        </w:rPr>
        <w:t>第</w:t>
      </w:r>
      <w:r>
        <w:rPr>
          <w:rFonts w:hint="eastAsia" w:ascii="宋体" w:hAnsi="宋体" w:eastAsia="方正仿宋_GBK" w:cs="Times New Roman"/>
          <w:b/>
          <w:bCs/>
          <w:kern w:val="0"/>
          <w:sz w:val="32"/>
          <w:szCs w:val="22"/>
          <w:lang w:val="en-US" w:eastAsia="zh-CN"/>
        </w:rPr>
        <w:t>五</w:t>
      </w:r>
      <w:r>
        <w:rPr>
          <w:rFonts w:hint="eastAsia" w:ascii="宋体" w:hAnsi="宋体" w:eastAsia="方正仿宋_GBK" w:cs="Times New Roman"/>
          <w:b/>
          <w:bCs/>
          <w:kern w:val="0"/>
          <w:sz w:val="32"/>
          <w:szCs w:val="22"/>
        </w:rPr>
        <w:t>十</w:t>
      </w:r>
      <w:r>
        <w:rPr>
          <w:rFonts w:hint="eastAsia" w:ascii="宋体" w:hAnsi="宋体" w:eastAsia="方正仿宋_GBK" w:cs="Times New Roman"/>
          <w:b/>
          <w:bCs/>
          <w:kern w:val="0"/>
          <w:sz w:val="32"/>
          <w:szCs w:val="22"/>
          <w:lang w:val="en-US" w:eastAsia="zh-CN"/>
        </w:rPr>
        <w:t>九</w:t>
      </w:r>
      <w:r>
        <w:rPr>
          <w:rFonts w:hint="eastAsia" w:ascii="宋体" w:hAnsi="宋体" w:eastAsia="方正仿宋_GBK" w:cs="Times New Roman"/>
          <w:b/>
          <w:bCs/>
          <w:kern w:val="0"/>
          <w:sz w:val="32"/>
          <w:szCs w:val="22"/>
        </w:rPr>
        <w:t>条</w:t>
      </w:r>
      <w:r>
        <w:rPr>
          <w:rFonts w:hint="eastAsia" w:ascii="宋体" w:hAnsi="宋体" w:eastAsia="方正仿宋_GBK" w:cs="Times New Roman"/>
          <w:kern w:val="0"/>
          <w:sz w:val="32"/>
          <w:szCs w:val="22"/>
        </w:rPr>
        <w:t xml:space="preserve"> 本办法自 20＊＊年＊＊月＊＊日施行。</w:t>
      </w:r>
    </w:p>
    <w:p w14:paraId="5F06E852"/>
    <w:sectPr>
      <w:footerReference r:id="rId3" w:type="default"/>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0"/>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华文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FZSJ-FANGSJT">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华文黑体">
    <w:panose1 w:val="02010600040101010101"/>
    <w:charset w:val="86"/>
    <w:family w:val="auto"/>
    <w:pitch w:val="default"/>
    <w:sig w:usb0="00000287" w:usb1="080F0000" w:usb2="00000000" w:usb3="00000000" w:csb0="00040001" w:csb1="00000000"/>
  </w:font>
  <w:font w:name="方正仿宋_GBK">
    <w:panose1 w:val="02000000000000000000"/>
    <w:charset w:val="86"/>
    <w:family w:val="script"/>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4190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F77863D">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5F77863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FF2640"/>
    <w:rsid w:val="1C0E219D"/>
    <w:rsid w:val="1CB58142"/>
    <w:rsid w:val="1CBF40EF"/>
    <w:rsid w:val="1DFFFC64"/>
    <w:rsid w:val="1FEBCC04"/>
    <w:rsid w:val="2442154F"/>
    <w:rsid w:val="25FDAB6A"/>
    <w:rsid w:val="27F06873"/>
    <w:rsid w:val="281F026C"/>
    <w:rsid w:val="2A2633A5"/>
    <w:rsid w:val="2C142A44"/>
    <w:rsid w:val="2CD550CB"/>
    <w:rsid w:val="31045FF0"/>
    <w:rsid w:val="32EF9F23"/>
    <w:rsid w:val="3BD63EB4"/>
    <w:rsid w:val="3EFF7E51"/>
    <w:rsid w:val="3F1F22CA"/>
    <w:rsid w:val="3F432880"/>
    <w:rsid w:val="553A1CB6"/>
    <w:rsid w:val="576FC02B"/>
    <w:rsid w:val="57DF6F93"/>
    <w:rsid w:val="5C9A1F15"/>
    <w:rsid w:val="5CF924C1"/>
    <w:rsid w:val="5E4C9B08"/>
    <w:rsid w:val="5EF78E0A"/>
    <w:rsid w:val="5F774D0C"/>
    <w:rsid w:val="5FFF7B22"/>
    <w:rsid w:val="62CAC232"/>
    <w:rsid w:val="69C320E4"/>
    <w:rsid w:val="6BFE3742"/>
    <w:rsid w:val="6CBD17E4"/>
    <w:rsid w:val="6EFE22D6"/>
    <w:rsid w:val="6F4F14A8"/>
    <w:rsid w:val="6F6A5A41"/>
    <w:rsid w:val="746F395D"/>
    <w:rsid w:val="751C001D"/>
    <w:rsid w:val="75FFB0D6"/>
    <w:rsid w:val="76392488"/>
    <w:rsid w:val="7653333A"/>
    <w:rsid w:val="77C9C8E0"/>
    <w:rsid w:val="77F9F194"/>
    <w:rsid w:val="79F57614"/>
    <w:rsid w:val="7C9F8D86"/>
    <w:rsid w:val="7CD13221"/>
    <w:rsid w:val="7CEBA6AB"/>
    <w:rsid w:val="7EFBEC2C"/>
    <w:rsid w:val="7EFE5A1C"/>
    <w:rsid w:val="7F1E1AD3"/>
    <w:rsid w:val="7F77CA27"/>
    <w:rsid w:val="7F7B4B14"/>
    <w:rsid w:val="7FE45BC7"/>
    <w:rsid w:val="7FF7F819"/>
    <w:rsid w:val="BC7F4E88"/>
    <w:rsid w:val="BF66DF50"/>
    <w:rsid w:val="BF9E4CF2"/>
    <w:rsid w:val="BFBBC19C"/>
    <w:rsid w:val="CDEEF3DD"/>
    <w:rsid w:val="CDFF6DCC"/>
    <w:rsid w:val="D77A640A"/>
    <w:rsid w:val="DDCE629E"/>
    <w:rsid w:val="DFBD9A71"/>
    <w:rsid w:val="DFEB4F83"/>
    <w:rsid w:val="EBFF807C"/>
    <w:rsid w:val="EE846C3E"/>
    <w:rsid w:val="EECF2D6B"/>
    <w:rsid w:val="EECF3D79"/>
    <w:rsid w:val="EFFF96F4"/>
    <w:rsid w:val="F3BFC9AA"/>
    <w:rsid w:val="F7D75197"/>
    <w:rsid w:val="FBFF2640"/>
    <w:rsid w:val="FCBE4730"/>
    <w:rsid w:val="FEFFEC36"/>
    <w:rsid w:val="FF6F335C"/>
    <w:rsid w:val="FF7FACB1"/>
    <w:rsid w:val="FF97859C"/>
    <w:rsid w:val="FFF9B5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4"/>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unhideWhenUsed/>
    <w:qFormat/>
    <w:uiPriority w:val="99"/>
    <w:pPr>
      <w:widowControl w:val="0"/>
      <w:tabs>
        <w:tab w:val="center" w:pos="4153"/>
        <w:tab w:val="right" w:pos="8306"/>
      </w:tabs>
    </w:pPr>
    <w:rPr>
      <w:rFonts w:ascii="Calibri" w:hAnsi="Calibri"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8990</Words>
  <Characters>9019</Characters>
  <Lines>0</Lines>
  <Paragraphs>0</Paragraphs>
  <TotalTime>2</TotalTime>
  <ScaleCrop>false</ScaleCrop>
  <LinksUpToDate>false</LinksUpToDate>
  <CharactersWithSpaces>9094</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2026-06-03T03:09:00Z</dcterms:created>
  <dc:creator>fish</dc:creator>
  <cp:lastModifiedBy>G</cp:lastModifiedBy>
  <cp:lastPrinted>2026-07-28T22:42:00Z</cp:lastPrinted>
  <dcterms:modified xsi:type="dcterms:W3CDTF">2026-07-29T21:15:23Z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CDB0259A759F63D709E2616AA2EA5EBB_43</vt:lpwstr>
  </property>
  <property fmtid="{D5CDD505-2E9C-101B-9397-08002B2CF9AE}" pid="4" name="KSOTemplateDocerSaveRecord">
    <vt:lpwstr>eyJoZGlkIjoiNTJmMzIxNTQ3YTJiYWMxZTgxMGY4ODY4ZTdkMjA0OGQiLCJ1c2VySWQiOiIxMjcyMTkyNDkzIn0=</vt:lpwstr>
  </property>
</Properties>
</file>